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77777777" w:rsidR="00530756" w:rsidRDefault="00530756" w:rsidP="49A95F64">
      <w:pPr>
        <w:jc w:val="center"/>
        <w:rPr>
          <w:rFonts w:ascii="Times New Roman" w:eastAsia="Times New Roman" w:hAnsi="Times New Roman" w:cs="Times New Roman"/>
        </w:rPr>
      </w:pPr>
    </w:p>
    <w:p w14:paraId="4011DB88" w14:textId="5E6DBF0A" w:rsidR="49A95F64" w:rsidRDefault="49A95F64" w:rsidP="49A95F64">
      <w:pPr>
        <w:jc w:val="center"/>
        <w:rPr>
          <w:rFonts w:ascii="Times New Roman" w:eastAsia="Times New Roman" w:hAnsi="Times New Roman" w:cs="Times New Roman"/>
        </w:rPr>
      </w:pPr>
    </w:p>
    <w:p w14:paraId="5538E2EA" w14:textId="4DF6E922" w:rsidR="749281C6" w:rsidRDefault="749281C6" w:rsidP="27F64FDA">
      <w:pPr>
        <w:jc w:val="center"/>
        <w:rPr>
          <w:rFonts w:ascii="Times New Roman" w:eastAsia="Times New Roman" w:hAnsi="Times New Roman" w:cs="Times New Roman"/>
          <w:b/>
          <w:bCs/>
        </w:rPr>
      </w:pPr>
      <w:r w:rsidRPr="27F64FDA">
        <w:rPr>
          <w:rFonts w:ascii="Times New Roman" w:eastAsia="Times New Roman" w:hAnsi="Times New Roman" w:cs="Times New Roman"/>
          <w:b/>
          <w:bCs/>
        </w:rPr>
        <w:t xml:space="preserve">Community Assessment: IPV and Bipolar Disorder </w:t>
      </w:r>
    </w:p>
    <w:p w14:paraId="0D3ED37F" w14:textId="53BDBC5B" w:rsidR="49A95F64" w:rsidRDefault="49A95F64" w:rsidP="49A95F64">
      <w:pPr>
        <w:jc w:val="center"/>
        <w:rPr>
          <w:rFonts w:ascii="Times New Roman" w:eastAsia="Times New Roman" w:hAnsi="Times New Roman" w:cs="Times New Roman"/>
          <w:b/>
          <w:bCs/>
        </w:rPr>
      </w:pPr>
    </w:p>
    <w:p w14:paraId="6100D1DE" w14:textId="6B0A7369" w:rsidR="1E5E8C2F" w:rsidRDefault="1E5E8C2F" w:rsidP="49A95F64">
      <w:pPr>
        <w:jc w:val="center"/>
        <w:rPr>
          <w:rFonts w:ascii="Times New Roman" w:eastAsia="Times New Roman" w:hAnsi="Times New Roman" w:cs="Times New Roman"/>
        </w:rPr>
      </w:pPr>
      <w:r w:rsidRPr="49A95F64">
        <w:rPr>
          <w:rFonts w:ascii="Times New Roman" w:eastAsia="Times New Roman" w:hAnsi="Times New Roman" w:cs="Times New Roman"/>
        </w:rPr>
        <w:t xml:space="preserve">Avery </w:t>
      </w:r>
      <w:r w:rsidRPr="43C30BA2">
        <w:rPr>
          <w:rFonts w:ascii="Times New Roman" w:eastAsia="Times New Roman" w:hAnsi="Times New Roman" w:cs="Times New Roman"/>
        </w:rPr>
        <w:t>Sch</w:t>
      </w:r>
      <w:r w:rsidR="2C48BB2E" w:rsidRPr="43C30BA2">
        <w:rPr>
          <w:rFonts w:ascii="Times New Roman" w:eastAsia="Times New Roman" w:hAnsi="Times New Roman" w:cs="Times New Roman"/>
        </w:rPr>
        <w:t>au</w:t>
      </w:r>
      <w:r w:rsidRPr="43C30BA2">
        <w:rPr>
          <w:rFonts w:ascii="Times New Roman" w:eastAsia="Times New Roman" w:hAnsi="Times New Roman" w:cs="Times New Roman"/>
        </w:rPr>
        <w:t>b</w:t>
      </w:r>
      <w:r w:rsidRPr="49A95F64">
        <w:rPr>
          <w:rFonts w:ascii="Times New Roman" w:eastAsia="Times New Roman" w:hAnsi="Times New Roman" w:cs="Times New Roman"/>
        </w:rPr>
        <w:t>, Greha Patel, Jaiden Harris, Alex Campagne</w:t>
      </w:r>
    </w:p>
    <w:p w14:paraId="55EB2E95" w14:textId="2D279006" w:rsidR="42D6FDDF" w:rsidRDefault="42D6FDDF" w:rsidP="49A95F64">
      <w:pPr>
        <w:jc w:val="center"/>
        <w:rPr>
          <w:rFonts w:ascii="Times New Roman" w:eastAsia="Times New Roman" w:hAnsi="Times New Roman" w:cs="Times New Roman"/>
        </w:rPr>
      </w:pPr>
      <w:r w:rsidRPr="49A95F64">
        <w:rPr>
          <w:rFonts w:ascii="Times New Roman" w:eastAsia="Times New Roman" w:hAnsi="Times New Roman" w:cs="Times New Roman"/>
        </w:rPr>
        <w:t>Department of Health Promotion and Behavior: University of Georgia</w:t>
      </w:r>
    </w:p>
    <w:p w14:paraId="7092D916" w14:textId="1B9812A9" w:rsidR="42D6FDDF" w:rsidRDefault="42D6FDDF" w:rsidP="49A95F64">
      <w:pPr>
        <w:jc w:val="center"/>
        <w:rPr>
          <w:rFonts w:ascii="Times New Roman" w:eastAsia="Times New Roman" w:hAnsi="Times New Roman" w:cs="Times New Roman"/>
        </w:rPr>
      </w:pPr>
      <w:r w:rsidRPr="49A95F64">
        <w:rPr>
          <w:rFonts w:ascii="Times New Roman" w:eastAsia="Times New Roman" w:hAnsi="Times New Roman" w:cs="Times New Roman"/>
        </w:rPr>
        <w:t>HPRB3700: Community Health</w:t>
      </w:r>
    </w:p>
    <w:p w14:paraId="061DE4B9" w14:textId="6D3B9BD9" w:rsidR="42D6FDDF" w:rsidRDefault="42D6FDDF" w:rsidP="49A95F64">
      <w:pPr>
        <w:jc w:val="center"/>
        <w:rPr>
          <w:rFonts w:ascii="Times New Roman" w:eastAsia="Times New Roman" w:hAnsi="Times New Roman" w:cs="Times New Roman"/>
        </w:rPr>
      </w:pPr>
      <w:r w:rsidRPr="49A95F64">
        <w:rPr>
          <w:rFonts w:ascii="Times New Roman" w:eastAsia="Times New Roman" w:hAnsi="Times New Roman" w:cs="Times New Roman"/>
        </w:rPr>
        <w:t>Dr. Katie Hein</w:t>
      </w:r>
    </w:p>
    <w:p w14:paraId="3C53BE94" w14:textId="3ED7009A" w:rsidR="42D6FDDF" w:rsidRDefault="42D6FDDF" w:rsidP="49A95F64">
      <w:pPr>
        <w:jc w:val="center"/>
        <w:rPr>
          <w:rFonts w:ascii="Times New Roman" w:eastAsia="Times New Roman" w:hAnsi="Times New Roman" w:cs="Times New Roman"/>
        </w:rPr>
      </w:pPr>
      <w:r w:rsidRPr="49A95F64">
        <w:rPr>
          <w:rFonts w:ascii="Times New Roman" w:eastAsia="Times New Roman" w:hAnsi="Times New Roman" w:cs="Times New Roman"/>
        </w:rPr>
        <w:t>November 25, 2025</w:t>
      </w:r>
    </w:p>
    <w:p w14:paraId="0A44BE63" w14:textId="77777777" w:rsidR="008F7C73" w:rsidRDefault="008F7C73" w:rsidP="49A95F64">
      <w:pPr>
        <w:jc w:val="center"/>
        <w:rPr>
          <w:rFonts w:ascii="Times New Roman" w:eastAsia="Times New Roman" w:hAnsi="Times New Roman" w:cs="Times New Roman"/>
        </w:rPr>
      </w:pPr>
    </w:p>
    <w:p w14:paraId="1E06E477" w14:textId="77777777" w:rsidR="008F7C73" w:rsidRDefault="008F7C73" w:rsidP="49A95F64">
      <w:pPr>
        <w:jc w:val="center"/>
        <w:rPr>
          <w:rFonts w:ascii="Times New Roman" w:eastAsia="Times New Roman" w:hAnsi="Times New Roman" w:cs="Times New Roman"/>
        </w:rPr>
      </w:pPr>
    </w:p>
    <w:p w14:paraId="44F848BC" w14:textId="77777777" w:rsidR="008F7C73" w:rsidRDefault="008F7C73" w:rsidP="49A95F64">
      <w:pPr>
        <w:jc w:val="center"/>
        <w:rPr>
          <w:rFonts w:ascii="Times New Roman" w:eastAsia="Times New Roman" w:hAnsi="Times New Roman" w:cs="Times New Roman"/>
        </w:rPr>
      </w:pPr>
    </w:p>
    <w:p w14:paraId="3AD09394" w14:textId="77777777" w:rsidR="008F7C73" w:rsidRDefault="008F7C73" w:rsidP="49A95F64">
      <w:pPr>
        <w:jc w:val="center"/>
        <w:rPr>
          <w:rFonts w:ascii="Times New Roman" w:eastAsia="Times New Roman" w:hAnsi="Times New Roman" w:cs="Times New Roman"/>
        </w:rPr>
      </w:pPr>
    </w:p>
    <w:p w14:paraId="00E1859B" w14:textId="77777777" w:rsidR="008F7C73" w:rsidRDefault="008F7C73" w:rsidP="49A95F64">
      <w:pPr>
        <w:jc w:val="center"/>
        <w:rPr>
          <w:rFonts w:ascii="Times New Roman" w:eastAsia="Times New Roman" w:hAnsi="Times New Roman" w:cs="Times New Roman"/>
        </w:rPr>
      </w:pPr>
    </w:p>
    <w:p w14:paraId="37A876B2" w14:textId="77777777" w:rsidR="008F7C73" w:rsidRDefault="008F7C73" w:rsidP="49A95F64">
      <w:pPr>
        <w:jc w:val="center"/>
        <w:rPr>
          <w:rFonts w:ascii="Times New Roman" w:eastAsia="Times New Roman" w:hAnsi="Times New Roman" w:cs="Times New Roman"/>
        </w:rPr>
      </w:pPr>
    </w:p>
    <w:p w14:paraId="6EA949BD" w14:textId="77777777" w:rsidR="008F7C73" w:rsidRDefault="008F7C73" w:rsidP="49A95F64">
      <w:pPr>
        <w:jc w:val="center"/>
        <w:rPr>
          <w:rFonts w:ascii="Times New Roman" w:eastAsia="Times New Roman" w:hAnsi="Times New Roman" w:cs="Times New Roman"/>
        </w:rPr>
      </w:pPr>
    </w:p>
    <w:p w14:paraId="6B8EA01C" w14:textId="77777777" w:rsidR="008F7C73" w:rsidRDefault="008F7C73" w:rsidP="49A95F64">
      <w:pPr>
        <w:jc w:val="center"/>
        <w:rPr>
          <w:rFonts w:ascii="Times New Roman" w:eastAsia="Times New Roman" w:hAnsi="Times New Roman" w:cs="Times New Roman"/>
        </w:rPr>
      </w:pPr>
    </w:p>
    <w:p w14:paraId="17F13787" w14:textId="77777777" w:rsidR="008F7C73" w:rsidRDefault="008F7C73" w:rsidP="49A95F64">
      <w:pPr>
        <w:jc w:val="center"/>
        <w:rPr>
          <w:rFonts w:ascii="Times New Roman" w:eastAsia="Times New Roman" w:hAnsi="Times New Roman" w:cs="Times New Roman"/>
        </w:rPr>
      </w:pPr>
    </w:p>
    <w:p w14:paraId="46EB6826" w14:textId="77777777" w:rsidR="008F7C73" w:rsidRDefault="008F7C73" w:rsidP="49A95F64">
      <w:pPr>
        <w:jc w:val="center"/>
        <w:rPr>
          <w:rFonts w:ascii="Times New Roman" w:eastAsia="Times New Roman" w:hAnsi="Times New Roman" w:cs="Times New Roman"/>
        </w:rPr>
      </w:pPr>
    </w:p>
    <w:p w14:paraId="4451906A" w14:textId="77777777" w:rsidR="008F7C73" w:rsidRDefault="008F7C73" w:rsidP="49A95F64">
      <w:pPr>
        <w:jc w:val="center"/>
        <w:rPr>
          <w:rFonts w:ascii="Times New Roman" w:eastAsia="Times New Roman" w:hAnsi="Times New Roman" w:cs="Times New Roman"/>
        </w:rPr>
      </w:pPr>
    </w:p>
    <w:p w14:paraId="04BB1946" w14:textId="77777777" w:rsidR="008F7C73" w:rsidRDefault="008F7C73" w:rsidP="49A95F64">
      <w:pPr>
        <w:jc w:val="center"/>
        <w:rPr>
          <w:rFonts w:ascii="Times New Roman" w:eastAsia="Times New Roman" w:hAnsi="Times New Roman" w:cs="Times New Roman"/>
        </w:rPr>
      </w:pPr>
    </w:p>
    <w:p w14:paraId="6382022B" w14:textId="77777777" w:rsidR="008F7C73" w:rsidRDefault="008F7C73" w:rsidP="49A95F64">
      <w:pPr>
        <w:jc w:val="center"/>
        <w:rPr>
          <w:rFonts w:ascii="Times New Roman" w:eastAsia="Times New Roman" w:hAnsi="Times New Roman" w:cs="Times New Roman"/>
        </w:rPr>
      </w:pPr>
    </w:p>
    <w:p w14:paraId="68E470A2" w14:textId="77777777" w:rsidR="008F7C73" w:rsidRDefault="008F7C73" w:rsidP="49A95F64">
      <w:pPr>
        <w:jc w:val="center"/>
        <w:rPr>
          <w:rFonts w:ascii="Times New Roman" w:eastAsia="Times New Roman" w:hAnsi="Times New Roman" w:cs="Times New Roman"/>
        </w:rPr>
      </w:pPr>
    </w:p>
    <w:p w14:paraId="03280582" w14:textId="6463FA07" w:rsidR="27F64FDA" w:rsidRDefault="27F64FDA" w:rsidP="27F64FDA">
      <w:pPr>
        <w:jc w:val="center"/>
        <w:rPr>
          <w:rFonts w:ascii="Times New Roman" w:eastAsia="Times New Roman" w:hAnsi="Times New Roman" w:cs="Times New Roman"/>
        </w:rPr>
      </w:pPr>
    </w:p>
    <w:p w14:paraId="2BA0E324" w14:textId="3E585DD5" w:rsidR="27F64FDA" w:rsidRDefault="27F64FDA" w:rsidP="27F64FDA"/>
    <w:p w14:paraId="5B25A69F" w14:textId="442B89C6" w:rsidR="008F7C73" w:rsidRDefault="008F7C73" w:rsidP="49A95F64">
      <w:pPr>
        <w:jc w:val="center"/>
        <w:rPr>
          <w:rFonts w:ascii="Times New Roman" w:eastAsia="Times New Roman" w:hAnsi="Times New Roman" w:cs="Times New Roman"/>
        </w:rPr>
      </w:pPr>
    </w:p>
    <w:p w14:paraId="28F0F2BE" w14:textId="265FEB3B" w:rsidR="27F64FDA" w:rsidRPr="003D36DC" w:rsidRDefault="27F64FDA" w:rsidP="003D36DC">
      <w:r>
        <w:br w:type="page"/>
      </w:r>
    </w:p>
    <w:sdt>
      <w:sdtPr>
        <w:rPr>
          <w:rFonts w:ascii="Times New Roman" w:eastAsia="Times New Roman" w:hAnsi="Times New Roman" w:cs="Times New Roman"/>
          <w:b/>
          <w:bCs/>
          <w:i/>
          <w:iCs/>
        </w:rPr>
        <w:id w:val="273019312"/>
        <w:docPartObj>
          <w:docPartGallery w:val="Table of Contents"/>
          <w:docPartUnique/>
        </w:docPartObj>
      </w:sdtPr>
      <w:sdtContent>
        <w:p w14:paraId="520A4985" w14:textId="27513DD3" w:rsidR="00EA17EB" w:rsidRPr="00236FD6" w:rsidRDefault="00EA17EB" w:rsidP="27F64FDA">
          <w:pPr>
            <w:rPr>
              <w:rFonts w:ascii="Times New Roman" w:eastAsia="Times New Roman" w:hAnsi="Times New Roman" w:cs="Times New Roman"/>
            </w:rPr>
          </w:pPr>
          <w:r w:rsidRPr="27F64FDA">
            <w:rPr>
              <w:rFonts w:ascii="Times New Roman" w:eastAsia="Times New Roman" w:hAnsi="Times New Roman" w:cs="Times New Roman"/>
            </w:rPr>
            <w:t>Table of Contents</w:t>
          </w:r>
        </w:p>
        <w:p w14:paraId="729DDF05" w14:textId="04A7290B" w:rsidR="003D36DC" w:rsidRDefault="27F64FDA">
          <w:pPr>
            <w:pStyle w:val="TOC1"/>
            <w:tabs>
              <w:tab w:val="right" w:leader="dot" w:pos="9350"/>
            </w:tabs>
            <w:rPr>
              <w:b w:val="0"/>
              <w:bCs w:val="0"/>
              <w:i w:val="0"/>
              <w:iCs w:val="0"/>
              <w:noProof/>
              <w:kern w:val="2"/>
              <w:lang w:eastAsia="en-US"/>
              <w14:ligatures w14:val="standardContextual"/>
            </w:rPr>
          </w:pPr>
          <w:r>
            <w:fldChar w:fldCharType="begin"/>
          </w:r>
          <w:r w:rsidR="00EA17EB">
            <w:instrText>TOC \o "1-3" \z \u \h</w:instrText>
          </w:r>
          <w:r>
            <w:fldChar w:fldCharType="separate"/>
          </w:r>
          <w:hyperlink w:anchor="_Toc214982971" w:history="1">
            <w:r w:rsidR="003D36DC" w:rsidRPr="00BA70DC">
              <w:rPr>
                <w:rStyle w:val="Hyperlink"/>
                <w:rFonts w:ascii="Times New Roman" w:hAnsi="Times New Roman" w:cs="Times New Roman"/>
                <w:noProof/>
              </w:rPr>
              <w:t>Health Section</w:t>
            </w:r>
            <w:r w:rsidR="003D36DC">
              <w:rPr>
                <w:noProof/>
                <w:webHidden/>
              </w:rPr>
              <w:tab/>
            </w:r>
            <w:r w:rsidR="003D36DC">
              <w:rPr>
                <w:noProof/>
                <w:webHidden/>
              </w:rPr>
              <w:fldChar w:fldCharType="begin"/>
            </w:r>
            <w:r w:rsidR="003D36DC">
              <w:rPr>
                <w:noProof/>
                <w:webHidden/>
              </w:rPr>
              <w:instrText xml:space="preserve"> PAGEREF _Toc214982971 \h </w:instrText>
            </w:r>
            <w:r w:rsidR="003D36DC">
              <w:rPr>
                <w:noProof/>
                <w:webHidden/>
              </w:rPr>
            </w:r>
            <w:r w:rsidR="003D36DC">
              <w:rPr>
                <w:noProof/>
                <w:webHidden/>
              </w:rPr>
              <w:fldChar w:fldCharType="separate"/>
            </w:r>
            <w:r w:rsidR="003D36DC">
              <w:rPr>
                <w:noProof/>
                <w:webHidden/>
              </w:rPr>
              <w:t>3</w:t>
            </w:r>
            <w:r w:rsidR="003D36DC">
              <w:rPr>
                <w:noProof/>
                <w:webHidden/>
              </w:rPr>
              <w:fldChar w:fldCharType="end"/>
            </w:r>
          </w:hyperlink>
        </w:p>
        <w:p w14:paraId="2D81C0B3" w14:textId="3AD8598F" w:rsidR="003D36DC" w:rsidRDefault="003D36DC">
          <w:pPr>
            <w:pStyle w:val="TOC1"/>
            <w:tabs>
              <w:tab w:val="right" w:leader="dot" w:pos="9350"/>
            </w:tabs>
            <w:rPr>
              <w:b w:val="0"/>
              <w:bCs w:val="0"/>
              <w:i w:val="0"/>
              <w:iCs w:val="0"/>
              <w:noProof/>
              <w:kern w:val="2"/>
              <w:lang w:eastAsia="en-US"/>
              <w14:ligatures w14:val="standardContextual"/>
            </w:rPr>
          </w:pPr>
          <w:hyperlink w:anchor="_Toc214982972" w:history="1">
            <w:r w:rsidRPr="00BA70DC">
              <w:rPr>
                <w:rStyle w:val="Hyperlink"/>
                <w:rFonts w:ascii="Times New Roman" w:hAnsi="Times New Roman" w:cs="Times New Roman"/>
                <w:noProof/>
              </w:rPr>
              <w:t>Culture Section</w:t>
            </w:r>
            <w:r>
              <w:rPr>
                <w:noProof/>
                <w:webHidden/>
              </w:rPr>
              <w:tab/>
            </w:r>
            <w:r>
              <w:rPr>
                <w:noProof/>
                <w:webHidden/>
              </w:rPr>
              <w:fldChar w:fldCharType="begin"/>
            </w:r>
            <w:r>
              <w:rPr>
                <w:noProof/>
                <w:webHidden/>
              </w:rPr>
              <w:instrText xml:space="preserve"> PAGEREF _Toc214982972 \h </w:instrText>
            </w:r>
            <w:r>
              <w:rPr>
                <w:noProof/>
                <w:webHidden/>
              </w:rPr>
            </w:r>
            <w:r>
              <w:rPr>
                <w:noProof/>
                <w:webHidden/>
              </w:rPr>
              <w:fldChar w:fldCharType="separate"/>
            </w:r>
            <w:r>
              <w:rPr>
                <w:noProof/>
                <w:webHidden/>
              </w:rPr>
              <w:t>8</w:t>
            </w:r>
            <w:r>
              <w:rPr>
                <w:noProof/>
                <w:webHidden/>
              </w:rPr>
              <w:fldChar w:fldCharType="end"/>
            </w:r>
          </w:hyperlink>
        </w:p>
        <w:p w14:paraId="65CA5809" w14:textId="5DFBAE3F" w:rsidR="003D36DC" w:rsidRDefault="003D36DC">
          <w:pPr>
            <w:pStyle w:val="TOC1"/>
            <w:tabs>
              <w:tab w:val="right" w:leader="dot" w:pos="9350"/>
            </w:tabs>
            <w:rPr>
              <w:b w:val="0"/>
              <w:bCs w:val="0"/>
              <w:i w:val="0"/>
              <w:iCs w:val="0"/>
              <w:noProof/>
              <w:kern w:val="2"/>
              <w:lang w:eastAsia="en-US"/>
              <w14:ligatures w14:val="standardContextual"/>
            </w:rPr>
          </w:pPr>
          <w:hyperlink w:anchor="_Toc214982973" w:history="1">
            <w:r w:rsidRPr="00BA70DC">
              <w:rPr>
                <w:rStyle w:val="Hyperlink"/>
                <w:rFonts w:ascii="Times New Roman" w:hAnsi="Times New Roman" w:cs="Times New Roman"/>
                <w:noProof/>
              </w:rPr>
              <w:t>What is Needed</w:t>
            </w:r>
            <w:r>
              <w:rPr>
                <w:noProof/>
                <w:webHidden/>
              </w:rPr>
              <w:tab/>
            </w:r>
            <w:r>
              <w:rPr>
                <w:noProof/>
                <w:webHidden/>
              </w:rPr>
              <w:fldChar w:fldCharType="begin"/>
            </w:r>
            <w:r>
              <w:rPr>
                <w:noProof/>
                <w:webHidden/>
              </w:rPr>
              <w:instrText xml:space="preserve"> PAGEREF _Toc214982973 \h </w:instrText>
            </w:r>
            <w:r>
              <w:rPr>
                <w:noProof/>
                <w:webHidden/>
              </w:rPr>
            </w:r>
            <w:r>
              <w:rPr>
                <w:noProof/>
                <w:webHidden/>
              </w:rPr>
              <w:fldChar w:fldCharType="separate"/>
            </w:r>
            <w:r>
              <w:rPr>
                <w:noProof/>
                <w:webHidden/>
              </w:rPr>
              <w:t>11</w:t>
            </w:r>
            <w:r>
              <w:rPr>
                <w:noProof/>
                <w:webHidden/>
              </w:rPr>
              <w:fldChar w:fldCharType="end"/>
            </w:r>
          </w:hyperlink>
        </w:p>
        <w:p w14:paraId="1EA03646" w14:textId="324B77D3" w:rsidR="003D36DC" w:rsidRDefault="003D36DC">
          <w:pPr>
            <w:pStyle w:val="TOC1"/>
            <w:tabs>
              <w:tab w:val="right" w:leader="dot" w:pos="9350"/>
            </w:tabs>
            <w:rPr>
              <w:b w:val="0"/>
              <w:bCs w:val="0"/>
              <w:i w:val="0"/>
              <w:iCs w:val="0"/>
              <w:noProof/>
              <w:kern w:val="2"/>
              <w:lang w:eastAsia="en-US"/>
              <w14:ligatures w14:val="standardContextual"/>
            </w:rPr>
          </w:pPr>
          <w:hyperlink w:anchor="_Toc214982974" w:history="1">
            <w:r w:rsidRPr="00BA70DC">
              <w:rPr>
                <w:rStyle w:val="Hyperlink"/>
                <w:rFonts w:ascii="Times New Roman" w:hAnsi="Times New Roman" w:cs="Times New Roman"/>
                <w:noProof/>
              </w:rPr>
              <w:t>Resources</w:t>
            </w:r>
            <w:r>
              <w:rPr>
                <w:noProof/>
                <w:webHidden/>
              </w:rPr>
              <w:tab/>
            </w:r>
            <w:r>
              <w:rPr>
                <w:noProof/>
                <w:webHidden/>
              </w:rPr>
              <w:fldChar w:fldCharType="begin"/>
            </w:r>
            <w:r>
              <w:rPr>
                <w:noProof/>
                <w:webHidden/>
              </w:rPr>
              <w:instrText xml:space="preserve"> PAGEREF _Toc214982974 \h </w:instrText>
            </w:r>
            <w:r>
              <w:rPr>
                <w:noProof/>
                <w:webHidden/>
              </w:rPr>
            </w:r>
            <w:r>
              <w:rPr>
                <w:noProof/>
                <w:webHidden/>
              </w:rPr>
              <w:fldChar w:fldCharType="separate"/>
            </w:r>
            <w:r>
              <w:rPr>
                <w:noProof/>
                <w:webHidden/>
              </w:rPr>
              <w:t>14</w:t>
            </w:r>
            <w:r>
              <w:rPr>
                <w:noProof/>
                <w:webHidden/>
              </w:rPr>
              <w:fldChar w:fldCharType="end"/>
            </w:r>
          </w:hyperlink>
        </w:p>
        <w:p w14:paraId="034EEF94" w14:textId="0D222944" w:rsidR="003D36DC" w:rsidRDefault="003D36DC">
          <w:pPr>
            <w:pStyle w:val="TOC2"/>
            <w:tabs>
              <w:tab w:val="right" w:leader="dot" w:pos="9350"/>
            </w:tabs>
            <w:rPr>
              <w:b w:val="0"/>
              <w:bCs w:val="0"/>
              <w:noProof/>
              <w:kern w:val="2"/>
              <w:sz w:val="24"/>
              <w:szCs w:val="24"/>
              <w:lang w:eastAsia="en-US"/>
              <w14:ligatures w14:val="standardContextual"/>
            </w:rPr>
          </w:pPr>
          <w:hyperlink w:anchor="_Toc214982975" w:history="1">
            <w:r w:rsidRPr="00BA70DC">
              <w:rPr>
                <w:rStyle w:val="Hyperlink"/>
                <w:rFonts w:ascii="Times New Roman" w:hAnsi="Times New Roman" w:cs="Times New Roman"/>
                <w:i/>
                <w:iCs/>
                <w:noProof/>
              </w:rPr>
              <w:t>Advantage Behavioral Health</w:t>
            </w:r>
            <w:r>
              <w:rPr>
                <w:noProof/>
                <w:webHidden/>
              </w:rPr>
              <w:tab/>
            </w:r>
            <w:r>
              <w:rPr>
                <w:noProof/>
                <w:webHidden/>
              </w:rPr>
              <w:fldChar w:fldCharType="begin"/>
            </w:r>
            <w:r>
              <w:rPr>
                <w:noProof/>
                <w:webHidden/>
              </w:rPr>
              <w:instrText xml:space="preserve"> PAGEREF _Toc214982975 \h </w:instrText>
            </w:r>
            <w:r>
              <w:rPr>
                <w:noProof/>
                <w:webHidden/>
              </w:rPr>
            </w:r>
            <w:r>
              <w:rPr>
                <w:noProof/>
                <w:webHidden/>
              </w:rPr>
              <w:fldChar w:fldCharType="separate"/>
            </w:r>
            <w:r>
              <w:rPr>
                <w:noProof/>
                <w:webHidden/>
              </w:rPr>
              <w:t>14</w:t>
            </w:r>
            <w:r>
              <w:rPr>
                <w:noProof/>
                <w:webHidden/>
              </w:rPr>
              <w:fldChar w:fldCharType="end"/>
            </w:r>
          </w:hyperlink>
        </w:p>
        <w:p w14:paraId="0649B392" w14:textId="769BC3A8" w:rsidR="003D36DC" w:rsidRDefault="003D36DC">
          <w:pPr>
            <w:pStyle w:val="TOC2"/>
            <w:tabs>
              <w:tab w:val="right" w:leader="dot" w:pos="9350"/>
            </w:tabs>
            <w:rPr>
              <w:b w:val="0"/>
              <w:bCs w:val="0"/>
              <w:noProof/>
              <w:kern w:val="2"/>
              <w:sz w:val="24"/>
              <w:szCs w:val="24"/>
              <w:lang w:eastAsia="en-US"/>
              <w14:ligatures w14:val="standardContextual"/>
            </w:rPr>
          </w:pPr>
          <w:hyperlink w:anchor="_Toc214982976" w:history="1">
            <w:r w:rsidRPr="00BA70DC">
              <w:rPr>
                <w:rStyle w:val="Hyperlink"/>
                <w:rFonts w:ascii="Times New Roman" w:hAnsi="Times New Roman" w:cs="Times New Roman"/>
                <w:i/>
                <w:iCs/>
                <w:noProof/>
              </w:rPr>
              <w:t>Project Safe</w:t>
            </w:r>
            <w:r>
              <w:rPr>
                <w:noProof/>
                <w:webHidden/>
              </w:rPr>
              <w:tab/>
            </w:r>
            <w:r>
              <w:rPr>
                <w:noProof/>
                <w:webHidden/>
              </w:rPr>
              <w:fldChar w:fldCharType="begin"/>
            </w:r>
            <w:r>
              <w:rPr>
                <w:noProof/>
                <w:webHidden/>
              </w:rPr>
              <w:instrText xml:space="preserve"> PAGEREF _Toc214982976 \h </w:instrText>
            </w:r>
            <w:r>
              <w:rPr>
                <w:noProof/>
                <w:webHidden/>
              </w:rPr>
            </w:r>
            <w:r>
              <w:rPr>
                <w:noProof/>
                <w:webHidden/>
              </w:rPr>
              <w:fldChar w:fldCharType="separate"/>
            </w:r>
            <w:r>
              <w:rPr>
                <w:noProof/>
                <w:webHidden/>
              </w:rPr>
              <w:t>18</w:t>
            </w:r>
            <w:r>
              <w:rPr>
                <w:noProof/>
                <w:webHidden/>
              </w:rPr>
              <w:fldChar w:fldCharType="end"/>
            </w:r>
          </w:hyperlink>
        </w:p>
        <w:p w14:paraId="547AA15C" w14:textId="3E21CC57" w:rsidR="003D36DC" w:rsidRDefault="003D36DC">
          <w:pPr>
            <w:pStyle w:val="TOC2"/>
            <w:tabs>
              <w:tab w:val="right" w:leader="dot" w:pos="9350"/>
            </w:tabs>
            <w:rPr>
              <w:b w:val="0"/>
              <w:bCs w:val="0"/>
              <w:noProof/>
              <w:kern w:val="2"/>
              <w:sz w:val="24"/>
              <w:szCs w:val="24"/>
              <w:lang w:eastAsia="en-US"/>
              <w14:ligatures w14:val="standardContextual"/>
            </w:rPr>
          </w:pPr>
          <w:hyperlink w:anchor="_Toc214982977" w:history="1">
            <w:r w:rsidRPr="00BA70DC">
              <w:rPr>
                <w:rStyle w:val="Hyperlink"/>
                <w:rFonts w:ascii="Times New Roman" w:hAnsi="Times New Roman" w:cs="Times New Roman"/>
                <w:i/>
                <w:iCs/>
                <w:noProof/>
              </w:rPr>
              <w:t>Athens-Clarke County Temporary Protective Order (TPO) Process</w:t>
            </w:r>
            <w:r>
              <w:rPr>
                <w:noProof/>
                <w:webHidden/>
              </w:rPr>
              <w:tab/>
            </w:r>
            <w:r>
              <w:rPr>
                <w:noProof/>
                <w:webHidden/>
              </w:rPr>
              <w:fldChar w:fldCharType="begin"/>
            </w:r>
            <w:r>
              <w:rPr>
                <w:noProof/>
                <w:webHidden/>
              </w:rPr>
              <w:instrText xml:space="preserve"> PAGEREF _Toc214982977 \h </w:instrText>
            </w:r>
            <w:r>
              <w:rPr>
                <w:noProof/>
                <w:webHidden/>
              </w:rPr>
            </w:r>
            <w:r>
              <w:rPr>
                <w:noProof/>
                <w:webHidden/>
              </w:rPr>
              <w:fldChar w:fldCharType="separate"/>
            </w:r>
            <w:r>
              <w:rPr>
                <w:noProof/>
                <w:webHidden/>
              </w:rPr>
              <w:t>22</w:t>
            </w:r>
            <w:r>
              <w:rPr>
                <w:noProof/>
                <w:webHidden/>
              </w:rPr>
              <w:fldChar w:fldCharType="end"/>
            </w:r>
          </w:hyperlink>
        </w:p>
        <w:p w14:paraId="7F8D3587" w14:textId="38574CE0" w:rsidR="003D36DC" w:rsidRDefault="003D36DC">
          <w:pPr>
            <w:pStyle w:val="TOC2"/>
            <w:tabs>
              <w:tab w:val="right" w:leader="dot" w:pos="9350"/>
            </w:tabs>
            <w:rPr>
              <w:b w:val="0"/>
              <w:bCs w:val="0"/>
              <w:noProof/>
              <w:kern w:val="2"/>
              <w:sz w:val="24"/>
              <w:szCs w:val="24"/>
              <w:lang w:eastAsia="en-US"/>
              <w14:ligatures w14:val="standardContextual"/>
            </w:rPr>
          </w:pPr>
          <w:hyperlink w:anchor="_Toc214982978" w:history="1">
            <w:r w:rsidRPr="00BA70DC">
              <w:rPr>
                <w:rStyle w:val="Hyperlink"/>
                <w:rFonts w:ascii="Times New Roman" w:hAnsi="Times New Roman" w:cs="Times New Roman"/>
                <w:i/>
                <w:iCs/>
                <w:noProof/>
              </w:rPr>
              <w:t>Athens Neighborhood Health Center</w:t>
            </w:r>
            <w:r>
              <w:rPr>
                <w:noProof/>
                <w:webHidden/>
              </w:rPr>
              <w:tab/>
            </w:r>
            <w:r>
              <w:rPr>
                <w:noProof/>
                <w:webHidden/>
              </w:rPr>
              <w:fldChar w:fldCharType="begin"/>
            </w:r>
            <w:r>
              <w:rPr>
                <w:noProof/>
                <w:webHidden/>
              </w:rPr>
              <w:instrText xml:space="preserve"> PAGEREF _Toc214982978 \h </w:instrText>
            </w:r>
            <w:r>
              <w:rPr>
                <w:noProof/>
                <w:webHidden/>
              </w:rPr>
            </w:r>
            <w:r>
              <w:rPr>
                <w:noProof/>
                <w:webHidden/>
              </w:rPr>
              <w:fldChar w:fldCharType="separate"/>
            </w:r>
            <w:r>
              <w:rPr>
                <w:noProof/>
                <w:webHidden/>
              </w:rPr>
              <w:t>23</w:t>
            </w:r>
            <w:r>
              <w:rPr>
                <w:noProof/>
                <w:webHidden/>
              </w:rPr>
              <w:fldChar w:fldCharType="end"/>
            </w:r>
          </w:hyperlink>
        </w:p>
        <w:p w14:paraId="674B7B45" w14:textId="41D10248" w:rsidR="003D36DC" w:rsidRDefault="003D36DC">
          <w:pPr>
            <w:pStyle w:val="TOC2"/>
            <w:tabs>
              <w:tab w:val="right" w:leader="dot" w:pos="9350"/>
            </w:tabs>
            <w:rPr>
              <w:b w:val="0"/>
              <w:bCs w:val="0"/>
              <w:noProof/>
              <w:kern w:val="2"/>
              <w:sz w:val="24"/>
              <w:szCs w:val="24"/>
              <w:lang w:eastAsia="en-US"/>
              <w14:ligatures w14:val="standardContextual"/>
            </w:rPr>
          </w:pPr>
          <w:hyperlink w:anchor="_Toc214982979" w:history="1">
            <w:r w:rsidRPr="00BA70DC">
              <w:rPr>
                <w:rStyle w:val="Hyperlink"/>
                <w:rFonts w:ascii="Times New Roman" w:hAnsi="Times New Roman" w:cs="Times New Roman"/>
                <w:i/>
                <w:iCs/>
                <w:noProof/>
              </w:rPr>
              <w:t>Mercy Health Center</w:t>
            </w:r>
            <w:r>
              <w:rPr>
                <w:noProof/>
                <w:webHidden/>
              </w:rPr>
              <w:tab/>
            </w:r>
            <w:r>
              <w:rPr>
                <w:noProof/>
                <w:webHidden/>
              </w:rPr>
              <w:fldChar w:fldCharType="begin"/>
            </w:r>
            <w:r>
              <w:rPr>
                <w:noProof/>
                <w:webHidden/>
              </w:rPr>
              <w:instrText xml:space="preserve"> PAGEREF _Toc214982979 \h </w:instrText>
            </w:r>
            <w:r>
              <w:rPr>
                <w:noProof/>
                <w:webHidden/>
              </w:rPr>
            </w:r>
            <w:r>
              <w:rPr>
                <w:noProof/>
                <w:webHidden/>
              </w:rPr>
              <w:fldChar w:fldCharType="separate"/>
            </w:r>
            <w:r>
              <w:rPr>
                <w:noProof/>
                <w:webHidden/>
              </w:rPr>
              <w:t>26</w:t>
            </w:r>
            <w:r>
              <w:rPr>
                <w:noProof/>
                <w:webHidden/>
              </w:rPr>
              <w:fldChar w:fldCharType="end"/>
            </w:r>
          </w:hyperlink>
        </w:p>
        <w:p w14:paraId="55C4F063" w14:textId="706FDBB5" w:rsidR="003D36DC" w:rsidRDefault="003D36DC">
          <w:pPr>
            <w:pStyle w:val="TOC2"/>
            <w:tabs>
              <w:tab w:val="right" w:leader="dot" w:pos="9350"/>
            </w:tabs>
            <w:rPr>
              <w:b w:val="0"/>
              <w:bCs w:val="0"/>
              <w:noProof/>
              <w:kern w:val="2"/>
              <w:sz w:val="24"/>
              <w:szCs w:val="24"/>
              <w:lang w:eastAsia="en-US"/>
              <w14:ligatures w14:val="standardContextual"/>
            </w:rPr>
          </w:pPr>
          <w:hyperlink w:anchor="_Toc214982980" w:history="1">
            <w:r w:rsidRPr="00BA70DC">
              <w:rPr>
                <w:rStyle w:val="Hyperlink"/>
                <w:rFonts w:ascii="Times New Roman" w:hAnsi="Times New Roman" w:cs="Times New Roman"/>
                <w:i/>
                <w:iCs/>
                <w:noProof/>
              </w:rPr>
              <w:t>Georgia Pathways to Coverage (Medicaid Expansion Program)</w:t>
            </w:r>
            <w:r>
              <w:rPr>
                <w:noProof/>
                <w:webHidden/>
              </w:rPr>
              <w:tab/>
            </w:r>
            <w:r>
              <w:rPr>
                <w:noProof/>
                <w:webHidden/>
              </w:rPr>
              <w:fldChar w:fldCharType="begin"/>
            </w:r>
            <w:r>
              <w:rPr>
                <w:noProof/>
                <w:webHidden/>
              </w:rPr>
              <w:instrText xml:space="preserve"> PAGEREF _Toc214982980 \h </w:instrText>
            </w:r>
            <w:r>
              <w:rPr>
                <w:noProof/>
                <w:webHidden/>
              </w:rPr>
            </w:r>
            <w:r>
              <w:rPr>
                <w:noProof/>
                <w:webHidden/>
              </w:rPr>
              <w:fldChar w:fldCharType="separate"/>
            </w:r>
            <w:r>
              <w:rPr>
                <w:noProof/>
                <w:webHidden/>
              </w:rPr>
              <w:t>27</w:t>
            </w:r>
            <w:r>
              <w:rPr>
                <w:noProof/>
                <w:webHidden/>
              </w:rPr>
              <w:fldChar w:fldCharType="end"/>
            </w:r>
          </w:hyperlink>
        </w:p>
        <w:p w14:paraId="7F46FC7F" w14:textId="2F289B72" w:rsidR="003D36DC" w:rsidRDefault="003D36DC">
          <w:pPr>
            <w:pStyle w:val="TOC1"/>
            <w:tabs>
              <w:tab w:val="right" w:leader="dot" w:pos="9350"/>
            </w:tabs>
            <w:rPr>
              <w:b w:val="0"/>
              <w:bCs w:val="0"/>
              <w:i w:val="0"/>
              <w:iCs w:val="0"/>
              <w:noProof/>
              <w:kern w:val="2"/>
              <w:lang w:eastAsia="en-US"/>
              <w14:ligatures w14:val="standardContextual"/>
            </w:rPr>
          </w:pPr>
          <w:hyperlink w:anchor="_Toc214982981" w:history="1">
            <w:r w:rsidRPr="00BA70DC">
              <w:rPr>
                <w:rStyle w:val="Hyperlink"/>
                <w:rFonts w:ascii="Times New Roman" w:hAnsi="Times New Roman" w:cs="Times New Roman"/>
                <w:noProof/>
              </w:rPr>
              <w:t>Sustainable Solutions</w:t>
            </w:r>
            <w:r>
              <w:rPr>
                <w:noProof/>
                <w:webHidden/>
              </w:rPr>
              <w:tab/>
            </w:r>
            <w:r>
              <w:rPr>
                <w:noProof/>
                <w:webHidden/>
              </w:rPr>
              <w:fldChar w:fldCharType="begin"/>
            </w:r>
            <w:r>
              <w:rPr>
                <w:noProof/>
                <w:webHidden/>
              </w:rPr>
              <w:instrText xml:space="preserve"> PAGEREF _Toc214982981 \h </w:instrText>
            </w:r>
            <w:r>
              <w:rPr>
                <w:noProof/>
                <w:webHidden/>
              </w:rPr>
            </w:r>
            <w:r>
              <w:rPr>
                <w:noProof/>
                <w:webHidden/>
              </w:rPr>
              <w:fldChar w:fldCharType="separate"/>
            </w:r>
            <w:r>
              <w:rPr>
                <w:noProof/>
                <w:webHidden/>
              </w:rPr>
              <w:t>28</w:t>
            </w:r>
            <w:r>
              <w:rPr>
                <w:noProof/>
                <w:webHidden/>
              </w:rPr>
              <w:fldChar w:fldCharType="end"/>
            </w:r>
          </w:hyperlink>
        </w:p>
        <w:p w14:paraId="6151A1F9" w14:textId="08BEE375" w:rsidR="003D36DC" w:rsidRDefault="003D36DC">
          <w:pPr>
            <w:pStyle w:val="TOC2"/>
            <w:tabs>
              <w:tab w:val="right" w:leader="dot" w:pos="9350"/>
            </w:tabs>
            <w:rPr>
              <w:b w:val="0"/>
              <w:bCs w:val="0"/>
              <w:noProof/>
              <w:kern w:val="2"/>
              <w:sz w:val="24"/>
              <w:szCs w:val="24"/>
              <w:lang w:eastAsia="en-US"/>
              <w14:ligatures w14:val="standardContextual"/>
            </w:rPr>
          </w:pPr>
          <w:hyperlink w:anchor="_Toc214982982" w:history="1">
            <w:r w:rsidRPr="00BA70DC">
              <w:rPr>
                <w:rStyle w:val="Hyperlink"/>
                <w:rFonts w:ascii="Times New Roman" w:hAnsi="Times New Roman" w:cs="Times New Roman"/>
                <w:i/>
                <w:iCs/>
                <w:noProof/>
              </w:rPr>
              <w:t>Integrated Healthcare Development and Access</w:t>
            </w:r>
            <w:r>
              <w:rPr>
                <w:noProof/>
                <w:webHidden/>
              </w:rPr>
              <w:tab/>
            </w:r>
            <w:r>
              <w:rPr>
                <w:noProof/>
                <w:webHidden/>
              </w:rPr>
              <w:fldChar w:fldCharType="begin"/>
            </w:r>
            <w:r>
              <w:rPr>
                <w:noProof/>
                <w:webHidden/>
              </w:rPr>
              <w:instrText xml:space="preserve"> PAGEREF _Toc214982982 \h </w:instrText>
            </w:r>
            <w:r>
              <w:rPr>
                <w:noProof/>
                <w:webHidden/>
              </w:rPr>
            </w:r>
            <w:r>
              <w:rPr>
                <w:noProof/>
                <w:webHidden/>
              </w:rPr>
              <w:fldChar w:fldCharType="separate"/>
            </w:r>
            <w:r>
              <w:rPr>
                <w:noProof/>
                <w:webHidden/>
              </w:rPr>
              <w:t>28</w:t>
            </w:r>
            <w:r>
              <w:rPr>
                <w:noProof/>
                <w:webHidden/>
              </w:rPr>
              <w:fldChar w:fldCharType="end"/>
            </w:r>
          </w:hyperlink>
        </w:p>
        <w:p w14:paraId="13BFC7D1" w14:textId="1C58627C" w:rsidR="003D36DC" w:rsidRDefault="003D36DC">
          <w:pPr>
            <w:pStyle w:val="TOC2"/>
            <w:tabs>
              <w:tab w:val="right" w:leader="dot" w:pos="9350"/>
            </w:tabs>
            <w:rPr>
              <w:b w:val="0"/>
              <w:bCs w:val="0"/>
              <w:noProof/>
              <w:kern w:val="2"/>
              <w:sz w:val="24"/>
              <w:szCs w:val="24"/>
              <w:lang w:eastAsia="en-US"/>
              <w14:ligatures w14:val="standardContextual"/>
            </w:rPr>
          </w:pPr>
          <w:hyperlink w:anchor="_Toc214982983" w:history="1">
            <w:r w:rsidRPr="00BA70DC">
              <w:rPr>
                <w:rStyle w:val="Hyperlink"/>
                <w:rFonts w:ascii="Times New Roman" w:hAnsi="Times New Roman" w:cs="Times New Roman"/>
                <w:i/>
                <w:iCs/>
                <w:noProof/>
              </w:rPr>
              <w:t>Economic Empowerment and Financial Independence</w:t>
            </w:r>
            <w:r>
              <w:rPr>
                <w:noProof/>
                <w:webHidden/>
              </w:rPr>
              <w:tab/>
            </w:r>
            <w:r>
              <w:rPr>
                <w:noProof/>
                <w:webHidden/>
              </w:rPr>
              <w:fldChar w:fldCharType="begin"/>
            </w:r>
            <w:r>
              <w:rPr>
                <w:noProof/>
                <w:webHidden/>
              </w:rPr>
              <w:instrText xml:space="preserve"> PAGEREF _Toc214982983 \h </w:instrText>
            </w:r>
            <w:r>
              <w:rPr>
                <w:noProof/>
                <w:webHidden/>
              </w:rPr>
            </w:r>
            <w:r>
              <w:rPr>
                <w:noProof/>
                <w:webHidden/>
              </w:rPr>
              <w:fldChar w:fldCharType="separate"/>
            </w:r>
            <w:r>
              <w:rPr>
                <w:noProof/>
                <w:webHidden/>
              </w:rPr>
              <w:t>30</w:t>
            </w:r>
            <w:r>
              <w:rPr>
                <w:noProof/>
                <w:webHidden/>
              </w:rPr>
              <w:fldChar w:fldCharType="end"/>
            </w:r>
          </w:hyperlink>
        </w:p>
        <w:p w14:paraId="3F616827" w14:textId="3C400595" w:rsidR="003D36DC" w:rsidRDefault="003D36DC">
          <w:pPr>
            <w:pStyle w:val="TOC2"/>
            <w:tabs>
              <w:tab w:val="right" w:leader="dot" w:pos="9350"/>
            </w:tabs>
            <w:rPr>
              <w:b w:val="0"/>
              <w:bCs w:val="0"/>
              <w:noProof/>
              <w:kern w:val="2"/>
              <w:sz w:val="24"/>
              <w:szCs w:val="24"/>
              <w:lang w:eastAsia="en-US"/>
              <w14:ligatures w14:val="standardContextual"/>
            </w:rPr>
          </w:pPr>
          <w:hyperlink w:anchor="_Toc214982984" w:history="1">
            <w:r w:rsidRPr="00BA70DC">
              <w:rPr>
                <w:rStyle w:val="Hyperlink"/>
                <w:rFonts w:ascii="Times New Roman" w:hAnsi="Times New Roman" w:cs="Times New Roman"/>
                <w:i/>
                <w:iCs/>
                <w:noProof/>
              </w:rPr>
              <w:t>Housing Stability and Safe Environments</w:t>
            </w:r>
            <w:r>
              <w:rPr>
                <w:noProof/>
                <w:webHidden/>
              </w:rPr>
              <w:tab/>
            </w:r>
            <w:r>
              <w:rPr>
                <w:noProof/>
                <w:webHidden/>
              </w:rPr>
              <w:fldChar w:fldCharType="begin"/>
            </w:r>
            <w:r>
              <w:rPr>
                <w:noProof/>
                <w:webHidden/>
              </w:rPr>
              <w:instrText xml:space="preserve"> PAGEREF _Toc214982984 \h </w:instrText>
            </w:r>
            <w:r>
              <w:rPr>
                <w:noProof/>
                <w:webHidden/>
              </w:rPr>
            </w:r>
            <w:r>
              <w:rPr>
                <w:noProof/>
                <w:webHidden/>
              </w:rPr>
              <w:fldChar w:fldCharType="separate"/>
            </w:r>
            <w:r>
              <w:rPr>
                <w:noProof/>
                <w:webHidden/>
              </w:rPr>
              <w:t>31</w:t>
            </w:r>
            <w:r>
              <w:rPr>
                <w:noProof/>
                <w:webHidden/>
              </w:rPr>
              <w:fldChar w:fldCharType="end"/>
            </w:r>
          </w:hyperlink>
        </w:p>
        <w:p w14:paraId="16E58819" w14:textId="7B2F3230" w:rsidR="003D36DC" w:rsidRDefault="003D36DC">
          <w:pPr>
            <w:pStyle w:val="TOC2"/>
            <w:tabs>
              <w:tab w:val="right" w:leader="dot" w:pos="9350"/>
            </w:tabs>
            <w:rPr>
              <w:b w:val="0"/>
              <w:bCs w:val="0"/>
              <w:noProof/>
              <w:kern w:val="2"/>
              <w:sz w:val="24"/>
              <w:szCs w:val="24"/>
              <w:lang w:eastAsia="en-US"/>
              <w14:ligatures w14:val="standardContextual"/>
            </w:rPr>
          </w:pPr>
          <w:hyperlink w:anchor="_Toc214982985" w:history="1">
            <w:r w:rsidRPr="00BA70DC">
              <w:rPr>
                <w:rStyle w:val="Hyperlink"/>
                <w:rFonts w:ascii="Times New Roman" w:hAnsi="Times New Roman" w:cs="Times New Roman"/>
                <w:i/>
                <w:iCs/>
                <w:noProof/>
              </w:rPr>
              <w:t>Community Education and Stigma Reduction</w:t>
            </w:r>
            <w:r>
              <w:rPr>
                <w:noProof/>
                <w:webHidden/>
              </w:rPr>
              <w:tab/>
            </w:r>
            <w:r>
              <w:rPr>
                <w:noProof/>
                <w:webHidden/>
              </w:rPr>
              <w:fldChar w:fldCharType="begin"/>
            </w:r>
            <w:r>
              <w:rPr>
                <w:noProof/>
                <w:webHidden/>
              </w:rPr>
              <w:instrText xml:space="preserve"> PAGEREF _Toc214982985 \h </w:instrText>
            </w:r>
            <w:r>
              <w:rPr>
                <w:noProof/>
                <w:webHidden/>
              </w:rPr>
            </w:r>
            <w:r>
              <w:rPr>
                <w:noProof/>
                <w:webHidden/>
              </w:rPr>
              <w:fldChar w:fldCharType="separate"/>
            </w:r>
            <w:r>
              <w:rPr>
                <w:noProof/>
                <w:webHidden/>
              </w:rPr>
              <w:t>33</w:t>
            </w:r>
            <w:r>
              <w:rPr>
                <w:noProof/>
                <w:webHidden/>
              </w:rPr>
              <w:fldChar w:fldCharType="end"/>
            </w:r>
          </w:hyperlink>
        </w:p>
        <w:p w14:paraId="7EA2D815" w14:textId="4C9D0CA3" w:rsidR="003D36DC" w:rsidRDefault="003D36DC">
          <w:pPr>
            <w:pStyle w:val="TOC1"/>
            <w:tabs>
              <w:tab w:val="right" w:leader="dot" w:pos="9350"/>
            </w:tabs>
            <w:rPr>
              <w:b w:val="0"/>
              <w:bCs w:val="0"/>
              <w:i w:val="0"/>
              <w:iCs w:val="0"/>
              <w:noProof/>
              <w:kern w:val="2"/>
              <w:lang w:eastAsia="en-US"/>
              <w14:ligatures w14:val="standardContextual"/>
            </w:rPr>
          </w:pPr>
          <w:hyperlink w:anchor="_Toc214982986" w:history="1">
            <w:r w:rsidRPr="00BA70DC">
              <w:rPr>
                <w:rStyle w:val="Hyperlink"/>
                <w:rFonts w:ascii="Times New Roman" w:hAnsi="Times New Roman" w:cs="Times New Roman"/>
                <w:noProof/>
              </w:rPr>
              <w:t>Resource Handout</w:t>
            </w:r>
            <w:r>
              <w:rPr>
                <w:noProof/>
                <w:webHidden/>
              </w:rPr>
              <w:tab/>
            </w:r>
            <w:r>
              <w:rPr>
                <w:noProof/>
                <w:webHidden/>
              </w:rPr>
              <w:fldChar w:fldCharType="begin"/>
            </w:r>
            <w:r>
              <w:rPr>
                <w:noProof/>
                <w:webHidden/>
              </w:rPr>
              <w:instrText xml:space="preserve"> PAGEREF _Toc214982986 \h </w:instrText>
            </w:r>
            <w:r>
              <w:rPr>
                <w:noProof/>
                <w:webHidden/>
              </w:rPr>
            </w:r>
            <w:r>
              <w:rPr>
                <w:noProof/>
                <w:webHidden/>
              </w:rPr>
              <w:fldChar w:fldCharType="separate"/>
            </w:r>
            <w:r>
              <w:rPr>
                <w:noProof/>
                <w:webHidden/>
              </w:rPr>
              <w:t>35</w:t>
            </w:r>
            <w:r>
              <w:rPr>
                <w:noProof/>
                <w:webHidden/>
              </w:rPr>
              <w:fldChar w:fldCharType="end"/>
            </w:r>
          </w:hyperlink>
        </w:p>
        <w:p w14:paraId="484895E3" w14:textId="0F67A994" w:rsidR="003D36DC" w:rsidRDefault="003D36DC">
          <w:pPr>
            <w:pStyle w:val="TOC2"/>
            <w:tabs>
              <w:tab w:val="right" w:leader="dot" w:pos="9350"/>
            </w:tabs>
            <w:rPr>
              <w:b w:val="0"/>
              <w:bCs w:val="0"/>
              <w:noProof/>
              <w:kern w:val="2"/>
              <w:sz w:val="24"/>
              <w:szCs w:val="24"/>
              <w:lang w:eastAsia="en-US"/>
              <w14:ligatures w14:val="standardContextual"/>
            </w:rPr>
          </w:pPr>
          <w:hyperlink w:anchor="_Toc214982987" w:history="1">
            <w:r w:rsidRPr="00BA70DC">
              <w:rPr>
                <w:rStyle w:val="Hyperlink"/>
                <w:rFonts w:ascii="Times New Roman" w:hAnsi="Times New Roman" w:cs="Times New Roman"/>
                <w:i/>
                <w:iCs/>
                <w:noProof/>
              </w:rPr>
              <w:t>ADVANTAGE BEHAVIORAL HEALTH</w:t>
            </w:r>
            <w:r>
              <w:rPr>
                <w:noProof/>
                <w:webHidden/>
              </w:rPr>
              <w:tab/>
            </w:r>
            <w:r>
              <w:rPr>
                <w:noProof/>
                <w:webHidden/>
              </w:rPr>
              <w:fldChar w:fldCharType="begin"/>
            </w:r>
            <w:r>
              <w:rPr>
                <w:noProof/>
                <w:webHidden/>
              </w:rPr>
              <w:instrText xml:space="preserve"> PAGEREF _Toc214982987 \h </w:instrText>
            </w:r>
            <w:r>
              <w:rPr>
                <w:noProof/>
                <w:webHidden/>
              </w:rPr>
            </w:r>
            <w:r>
              <w:rPr>
                <w:noProof/>
                <w:webHidden/>
              </w:rPr>
              <w:fldChar w:fldCharType="separate"/>
            </w:r>
            <w:r>
              <w:rPr>
                <w:noProof/>
                <w:webHidden/>
              </w:rPr>
              <w:t>35</w:t>
            </w:r>
            <w:r>
              <w:rPr>
                <w:noProof/>
                <w:webHidden/>
              </w:rPr>
              <w:fldChar w:fldCharType="end"/>
            </w:r>
          </w:hyperlink>
        </w:p>
        <w:p w14:paraId="23AB13D6" w14:textId="5ABDF0CA" w:rsidR="003D36DC" w:rsidRDefault="003D36DC">
          <w:pPr>
            <w:pStyle w:val="TOC2"/>
            <w:tabs>
              <w:tab w:val="right" w:leader="dot" w:pos="9350"/>
            </w:tabs>
            <w:rPr>
              <w:b w:val="0"/>
              <w:bCs w:val="0"/>
              <w:noProof/>
              <w:kern w:val="2"/>
              <w:sz w:val="24"/>
              <w:szCs w:val="24"/>
              <w:lang w:eastAsia="en-US"/>
              <w14:ligatures w14:val="standardContextual"/>
            </w:rPr>
          </w:pPr>
          <w:hyperlink w:anchor="_Toc214982988" w:history="1">
            <w:r w:rsidRPr="00BA70DC">
              <w:rPr>
                <w:rStyle w:val="Hyperlink"/>
                <w:rFonts w:ascii="Times New Roman" w:hAnsi="Times New Roman" w:cs="Times New Roman"/>
                <w:i/>
                <w:iCs/>
                <w:noProof/>
              </w:rPr>
              <w:t>PROJECT SAFE</w:t>
            </w:r>
            <w:r>
              <w:rPr>
                <w:noProof/>
                <w:webHidden/>
              </w:rPr>
              <w:tab/>
            </w:r>
            <w:r>
              <w:rPr>
                <w:noProof/>
                <w:webHidden/>
              </w:rPr>
              <w:fldChar w:fldCharType="begin"/>
            </w:r>
            <w:r>
              <w:rPr>
                <w:noProof/>
                <w:webHidden/>
              </w:rPr>
              <w:instrText xml:space="preserve"> PAGEREF _Toc214982988 \h </w:instrText>
            </w:r>
            <w:r>
              <w:rPr>
                <w:noProof/>
                <w:webHidden/>
              </w:rPr>
            </w:r>
            <w:r>
              <w:rPr>
                <w:noProof/>
                <w:webHidden/>
              </w:rPr>
              <w:fldChar w:fldCharType="separate"/>
            </w:r>
            <w:r>
              <w:rPr>
                <w:noProof/>
                <w:webHidden/>
              </w:rPr>
              <w:t>35</w:t>
            </w:r>
            <w:r>
              <w:rPr>
                <w:noProof/>
                <w:webHidden/>
              </w:rPr>
              <w:fldChar w:fldCharType="end"/>
            </w:r>
          </w:hyperlink>
        </w:p>
        <w:p w14:paraId="7524C192" w14:textId="6C5A1078" w:rsidR="003D36DC" w:rsidRDefault="003D36DC">
          <w:pPr>
            <w:pStyle w:val="TOC2"/>
            <w:tabs>
              <w:tab w:val="right" w:leader="dot" w:pos="9350"/>
            </w:tabs>
            <w:rPr>
              <w:b w:val="0"/>
              <w:bCs w:val="0"/>
              <w:noProof/>
              <w:kern w:val="2"/>
              <w:sz w:val="24"/>
              <w:szCs w:val="24"/>
              <w:lang w:eastAsia="en-US"/>
              <w14:ligatures w14:val="standardContextual"/>
            </w:rPr>
          </w:pPr>
          <w:hyperlink w:anchor="_Toc214982989" w:history="1">
            <w:r w:rsidRPr="00BA70DC">
              <w:rPr>
                <w:rStyle w:val="Hyperlink"/>
                <w:rFonts w:ascii="Times New Roman" w:eastAsia="Times New Roman" w:hAnsi="Times New Roman" w:cs="Times New Roman"/>
                <w:i/>
                <w:iCs/>
                <w:noProof/>
              </w:rPr>
              <w:t>ATHENS-CLARKE COUNTY TEMPORARY PROTECTIVE ORDER PROCESS</w:t>
            </w:r>
            <w:r>
              <w:rPr>
                <w:noProof/>
                <w:webHidden/>
              </w:rPr>
              <w:tab/>
            </w:r>
            <w:r>
              <w:rPr>
                <w:noProof/>
                <w:webHidden/>
              </w:rPr>
              <w:fldChar w:fldCharType="begin"/>
            </w:r>
            <w:r>
              <w:rPr>
                <w:noProof/>
                <w:webHidden/>
              </w:rPr>
              <w:instrText xml:space="preserve"> PAGEREF _Toc214982989 \h </w:instrText>
            </w:r>
            <w:r>
              <w:rPr>
                <w:noProof/>
                <w:webHidden/>
              </w:rPr>
            </w:r>
            <w:r>
              <w:rPr>
                <w:noProof/>
                <w:webHidden/>
              </w:rPr>
              <w:fldChar w:fldCharType="separate"/>
            </w:r>
            <w:r>
              <w:rPr>
                <w:noProof/>
                <w:webHidden/>
              </w:rPr>
              <w:t>36</w:t>
            </w:r>
            <w:r>
              <w:rPr>
                <w:noProof/>
                <w:webHidden/>
              </w:rPr>
              <w:fldChar w:fldCharType="end"/>
            </w:r>
          </w:hyperlink>
        </w:p>
        <w:p w14:paraId="1E22ED29" w14:textId="0B44302E" w:rsidR="003D36DC" w:rsidRDefault="003D36DC">
          <w:pPr>
            <w:pStyle w:val="TOC2"/>
            <w:tabs>
              <w:tab w:val="right" w:leader="dot" w:pos="9350"/>
            </w:tabs>
            <w:rPr>
              <w:b w:val="0"/>
              <w:bCs w:val="0"/>
              <w:noProof/>
              <w:kern w:val="2"/>
              <w:sz w:val="24"/>
              <w:szCs w:val="24"/>
              <w:lang w:eastAsia="en-US"/>
              <w14:ligatures w14:val="standardContextual"/>
            </w:rPr>
          </w:pPr>
          <w:hyperlink w:anchor="_Toc214982990" w:history="1">
            <w:r w:rsidRPr="00BA70DC">
              <w:rPr>
                <w:rStyle w:val="Hyperlink"/>
                <w:rFonts w:ascii="Times New Roman" w:eastAsia="Times New Roman" w:hAnsi="Times New Roman" w:cs="Times New Roman"/>
                <w:i/>
                <w:iCs/>
                <w:noProof/>
              </w:rPr>
              <w:t>ATHENS NEIGHBORHOOD HEALTH CENTER</w:t>
            </w:r>
            <w:r>
              <w:rPr>
                <w:noProof/>
                <w:webHidden/>
              </w:rPr>
              <w:tab/>
            </w:r>
            <w:r>
              <w:rPr>
                <w:noProof/>
                <w:webHidden/>
              </w:rPr>
              <w:fldChar w:fldCharType="begin"/>
            </w:r>
            <w:r>
              <w:rPr>
                <w:noProof/>
                <w:webHidden/>
              </w:rPr>
              <w:instrText xml:space="preserve"> PAGEREF _Toc214982990 \h </w:instrText>
            </w:r>
            <w:r>
              <w:rPr>
                <w:noProof/>
                <w:webHidden/>
              </w:rPr>
            </w:r>
            <w:r>
              <w:rPr>
                <w:noProof/>
                <w:webHidden/>
              </w:rPr>
              <w:fldChar w:fldCharType="separate"/>
            </w:r>
            <w:r>
              <w:rPr>
                <w:noProof/>
                <w:webHidden/>
              </w:rPr>
              <w:t>36</w:t>
            </w:r>
            <w:r>
              <w:rPr>
                <w:noProof/>
                <w:webHidden/>
              </w:rPr>
              <w:fldChar w:fldCharType="end"/>
            </w:r>
          </w:hyperlink>
        </w:p>
        <w:p w14:paraId="3CF0FFC2" w14:textId="57F89F6A" w:rsidR="003D36DC" w:rsidRDefault="003D36DC">
          <w:pPr>
            <w:pStyle w:val="TOC2"/>
            <w:tabs>
              <w:tab w:val="right" w:leader="dot" w:pos="9350"/>
            </w:tabs>
            <w:rPr>
              <w:b w:val="0"/>
              <w:bCs w:val="0"/>
              <w:noProof/>
              <w:kern w:val="2"/>
              <w:sz w:val="24"/>
              <w:szCs w:val="24"/>
              <w:lang w:eastAsia="en-US"/>
              <w14:ligatures w14:val="standardContextual"/>
            </w:rPr>
          </w:pPr>
          <w:hyperlink w:anchor="_Toc214982991" w:history="1">
            <w:r w:rsidRPr="00BA70DC">
              <w:rPr>
                <w:rStyle w:val="Hyperlink"/>
                <w:rFonts w:ascii="Times New Roman" w:eastAsia="Times New Roman" w:hAnsi="Times New Roman" w:cs="Times New Roman"/>
                <w:i/>
                <w:iCs/>
                <w:noProof/>
              </w:rPr>
              <w:t>MERCY HEALTH CENTER</w:t>
            </w:r>
            <w:r>
              <w:rPr>
                <w:noProof/>
                <w:webHidden/>
              </w:rPr>
              <w:tab/>
            </w:r>
            <w:r>
              <w:rPr>
                <w:noProof/>
                <w:webHidden/>
              </w:rPr>
              <w:fldChar w:fldCharType="begin"/>
            </w:r>
            <w:r>
              <w:rPr>
                <w:noProof/>
                <w:webHidden/>
              </w:rPr>
              <w:instrText xml:space="preserve"> PAGEREF _Toc214982991 \h </w:instrText>
            </w:r>
            <w:r>
              <w:rPr>
                <w:noProof/>
                <w:webHidden/>
              </w:rPr>
            </w:r>
            <w:r>
              <w:rPr>
                <w:noProof/>
                <w:webHidden/>
              </w:rPr>
              <w:fldChar w:fldCharType="separate"/>
            </w:r>
            <w:r>
              <w:rPr>
                <w:noProof/>
                <w:webHidden/>
              </w:rPr>
              <w:t>36</w:t>
            </w:r>
            <w:r>
              <w:rPr>
                <w:noProof/>
                <w:webHidden/>
              </w:rPr>
              <w:fldChar w:fldCharType="end"/>
            </w:r>
          </w:hyperlink>
        </w:p>
        <w:p w14:paraId="0490825B" w14:textId="7832B4B3" w:rsidR="003D36DC" w:rsidRDefault="003D36DC">
          <w:pPr>
            <w:pStyle w:val="TOC2"/>
            <w:tabs>
              <w:tab w:val="right" w:leader="dot" w:pos="9350"/>
            </w:tabs>
            <w:rPr>
              <w:b w:val="0"/>
              <w:bCs w:val="0"/>
              <w:noProof/>
              <w:kern w:val="2"/>
              <w:sz w:val="24"/>
              <w:szCs w:val="24"/>
              <w:lang w:eastAsia="en-US"/>
              <w14:ligatures w14:val="standardContextual"/>
            </w:rPr>
          </w:pPr>
          <w:hyperlink w:anchor="_Toc214982992" w:history="1">
            <w:r w:rsidRPr="00BA70DC">
              <w:rPr>
                <w:rStyle w:val="Hyperlink"/>
                <w:rFonts w:ascii="Times New Roman" w:eastAsia="Times New Roman" w:hAnsi="Times New Roman" w:cs="Times New Roman"/>
                <w:i/>
                <w:iCs/>
                <w:noProof/>
              </w:rPr>
              <w:t>GEORGIA PATHWAYS TO COVERAGE</w:t>
            </w:r>
            <w:r>
              <w:rPr>
                <w:noProof/>
                <w:webHidden/>
              </w:rPr>
              <w:tab/>
            </w:r>
            <w:r>
              <w:rPr>
                <w:noProof/>
                <w:webHidden/>
              </w:rPr>
              <w:fldChar w:fldCharType="begin"/>
            </w:r>
            <w:r>
              <w:rPr>
                <w:noProof/>
                <w:webHidden/>
              </w:rPr>
              <w:instrText xml:space="preserve"> PAGEREF _Toc214982992 \h </w:instrText>
            </w:r>
            <w:r>
              <w:rPr>
                <w:noProof/>
                <w:webHidden/>
              </w:rPr>
            </w:r>
            <w:r>
              <w:rPr>
                <w:noProof/>
                <w:webHidden/>
              </w:rPr>
              <w:fldChar w:fldCharType="separate"/>
            </w:r>
            <w:r>
              <w:rPr>
                <w:noProof/>
                <w:webHidden/>
              </w:rPr>
              <w:t>37</w:t>
            </w:r>
            <w:r>
              <w:rPr>
                <w:noProof/>
                <w:webHidden/>
              </w:rPr>
              <w:fldChar w:fldCharType="end"/>
            </w:r>
          </w:hyperlink>
        </w:p>
        <w:p w14:paraId="36E59E79" w14:textId="7CD7A113" w:rsidR="003D36DC" w:rsidRDefault="003D36DC">
          <w:pPr>
            <w:pStyle w:val="TOC1"/>
            <w:tabs>
              <w:tab w:val="right" w:leader="dot" w:pos="9350"/>
            </w:tabs>
            <w:rPr>
              <w:b w:val="0"/>
              <w:bCs w:val="0"/>
              <w:i w:val="0"/>
              <w:iCs w:val="0"/>
              <w:noProof/>
              <w:kern w:val="2"/>
              <w:lang w:eastAsia="en-US"/>
              <w14:ligatures w14:val="standardContextual"/>
            </w:rPr>
          </w:pPr>
          <w:hyperlink w:anchor="_Toc214982993" w:history="1">
            <w:r w:rsidRPr="00BA70DC">
              <w:rPr>
                <w:rStyle w:val="Hyperlink"/>
                <w:rFonts w:ascii="Times New Roman" w:hAnsi="Times New Roman" w:cs="Times New Roman"/>
                <w:noProof/>
              </w:rPr>
              <w:t>Personal Reflections</w:t>
            </w:r>
            <w:r>
              <w:rPr>
                <w:noProof/>
                <w:webHidden/>
              </w:rPr>
              <w:tab/>
            </w:r>
            <w:r>
              <w:rPr>
                <w:noProof/>
                <w:webHidden/>
              </w:rPr>
              <w:fldChar w:fldCharType="begin"/>
            </w:r>
            <w:r>
              <w:rPr>
                <w:noProof/>
                <w:webHidden/>
              </w:rPr>
              <w:instrText xml:space="preserve"> PAGEREF _Toc214982993 \h </w:instrText>
            </w:r>
            <w:r>
              <w:rPr>
                <w:noProof/>
                <w:webHidden/>
              </w:rPr>
            </w:r>
            <w:r>
              <w:rPr>
                <w:noProof/>
                <w:webHidden/>
              </w:rPr>
              <w:fldChar w:fldCharType="separate"/>
            </w:r>
            <w:r>
              <w:rPr>
                <w:noProof/>
                <w:webHidden/>
              </w:rPr>
              <w:t>37</w:t>
            </w:r>
            <w:r>
              <w:rPr>
                <w:noProof/>
                <w:webHidden/>
              </w:rPr>
              <w:fldChar w:fldCharType="end"/>
            </w:r>
          </w:hyperlink>
        </w:p>
        <w:p w14:paraId="21FD5164" w14:textId="1DDA56A9" w:rsidR="003D36DC" w:rsidRDefault="003D36DC">
          <w:pPr>
            <w:pStyle w:val="TOC2"/>
            <w:tabs>
              <w:tab w:val="right" w:leader="dot" w:pos="9350"/>
            </w:tabs>
            <w:rPr>
              <w:b w:val="0"/>
              <w:bCs w:val="0"/>
              <w:noProof/>
              <w:kern w:val="2"/>
              <w:sz w:val="24"/>
              <w:szCs w:val="24"/>
              <w:lang w:eastAsia="en-US"/>
              <w14:ligatures w14:val="standardContextual"/>
            </w:rPr>
          </w:pPr>
          <w:hyperlink w:anchor="_Toc214982994" w:history="1">
            <w:r w:rsidRPr="00BA70DC">
              <w:rPr>
                <w:rStyle w:val="Hyperlink"/>
                <w:rFonts w:ascii="Times New Roman" w:hAnsi="Times New Roman" w:cs="Times New Roman"/>
                <w:i/>
                <w:iCs/>
                <w:noProof/>
              </w:rPr>
              <w:t>Avery</w:t>
            </w:r>
            <w:r>
              <w:rPr>
                <w:noProof/>
                <w:webHidden/>
              </w:rPr>
              <w:tab/>
            </w:r>
            <w:r>
              <w:rPr>
                <w:noProof/>
                <w:webHidden/>
              </w:rPr>
              <w:fldChar w:fldCharType="begin"/>
            </w:r>
            <w:r>
              <w:rPr>
                <w:noProof/>
                <w:webHidden/>
              </w:rPr>
              <w:instrText xml:space="preserve"> PAGEREF _Toc214982994 \h </w:instrText>
            </w:r>
            <w:r>
              <w:rPr>
                <w:noProof/>
                <w:webHidden/>
              </w:rPr>
            </w:r>
            <w:r>
              <w:rPr>
                <w:noProof/>
                <w:webHidden/>
              </w:rPr>
              <w:fldChar w:fldCharType="separate"/>
            </w:r>
            <w:r>
              <w:rPr>
                <w:noProof/>
                <w:webHidden/>
              </w:rPr>
              <w:t>37</w:t>
            </w:r>
            <w:r>
              <w:rPr>
                <w:noProof/>
                <w:webHidden/>
              </w:rPr>
              <w:fldChar w:fldCharType="end"/>
            </w:r>
          </w:hyperlink>
        </w:p>
        <w:p w14:paraId="0E281D1B" w14:textId="6D6E3B66" w:rsidR="003D36DC" w:rsidRDefault="003D36DC">
          <w:pPr>
            <w:pStyle w:val="TOC2"/>
            <w:tabs>
              <w:tab w:val="right" w:leader="dot" w:pos="9350"/>
            </w:tabs>
            <w:rPr>
              <w:b w:val="0"/>
              <w:bCs w:val="0"/>
              <w:noProof/>
              <w:kern w:val="2"/>
              <w:sz w:val="24"/>
              <w:szCs w:val="24"/>
              <w:lang w:eastAsia="en-US"/>
              <w14:ligatures w14:val="standardContextual"/>
            </w:rPr>
          </w:pPr>
          <w:hyperlink w:anchor="_Toc214982995" w:history="1">
            <w:r w:rsidRPr="00BA70DC">
              <w:rPr>
                <w:rStyle w:val="Hyperlink"/>
                <w:rFonts w:ascii="Times New Roman" w:hAnsi="Times New Roman" w:cs="Times New Roman"/>
                <w:i/>
                <w:iCs/>
                <w:noProof/>
              </w:rPr>
              <w:t>Jaiden</w:t>
            </w:r>
            <w:r>
              <w:rPr>
                <w:noProof/>
                <w:webHidden/>
              </w:rPr>
              <w:tab/>
            </w:r>
            <w:r>
              <w:rPr>
                <w:noProof/>
                <w:webHidden/>
              </w:rPr>
              <w:fldChar w:fldCharType="begin"/>
            </w:r>
            <w:r>
              <w:rPr>
                <w:noProof/>
                <w:webHidden/>
              </w:rPr>
              <w:instrText xml:space="preserve"> PAGEREF _Toc214982995 \h </w:instrText>
            </w:r>
            <w:r>
              <w:rPr>
                <w:noProof/>
                <w:webHidden/>
              </w:rPr>
            </w:r>
            <w:r>
              <w:rPr>
                <w:noProof/>
                <w:webHidden/>
              </w:rPr>
              <w:fldChar w:fldCharType="separate"/>
            </w:r>
            <w:r>
              <w:rPr>
                <w:noProof/>
                <w:webHidden/>
              </w:rPr>
              <w:t>37</w:t>
            </w:r>
            <w:r>
              <w:rPr>
                <w:noProof/>
                <w:webHidden/>
              </w:rPr>
              <w:fldChar w:fldCharType="end"/>
            </w:r>
          </w:hyperlink>
        </w:p>
        <w:p w14:paraId="33F15BFE" w14:textId="77C1DF91" w:rsidR="003D36DC" w:rsidRDefault="003D36DC">
          <w:pPr>
            <w:pStyle w:val="TOC2"/>
            <w:tabs>
              <w:tab w:val="right" w:leader="dot" w:pos="9350"/>
            </w:tabs>
            <w:rPr>
              <w:b w:val="0"/>
              <w:bCs w:val="0"/>
              <w:noProof/>
              <w:kern w:val="2"/>
              <w:sz w:val="24"/>
              <w:szCs w:val="24"/>
              <w:lang w:eastAsia="en-US"/>
              <w14:ligatures w14:val="standardContextual"/>
            </w:rPr>
          </w:pPr>
          <w:hyperlink w:anchor="_Toc214982996" w:history="1">
            <w:r w:rsidRPr="00BA70DC">
              <w:rPr>
                <w:rStyle w:val="Hyperlink"/>
                <w:rFonts w:ascii="Times New Roman" w:hAnsi="Times New Roman" w:cs="Times New Roman"/>
                <w:i/>
                <w:iCs/>
                <w:noProof/>
              </w:rPr>
              <w:t>Greha</w:t>
            </w:r>
            <w:r>
              <w:rPr>
                <w:noProof/>
                <w:webHidden/>
              </w:rPr>
              <w:tab/>
            </w:r>
            <w:r>
              <w:rPr>
                <w:noProof/>
                <w:webHidden/>
              </w:rPr>
              <w:fldChar w:fldCharType="begin"/>
            </w:r>
            <w:r>
              <w:rPr>
                <w:noProof/>
                <w:webHidden/>
              </w:rPr>
              <w:instrText xml:space="preserve"> PAGEREF _Toc214982996 \h </w:instrText>
            </w:r>
            <w:r>
              <w:rPr>
                <w:noProof/>
                <w:webHidden/>
              </w:rPr>
            </w:r>
            <w:r>
              <w:rPr>
                <w:noProof/>
                <w:webHidden/>
              </w:rPr>
              <w:fldChar w:fldCharType="separate"/>
            </w:r>
            <w:r>
              <w:rPr>
                <w:noProof/>
                <w:webHidden/>
              </w:rPr>
              <w:t>38</w:t>
            </w:r>
            <w:r>
              <w:rPr>
                <w:noProof/>
                <w:webHidden/>
              </w:rPr>
              <w:fldChar w:fldCharType="end"/>
            </w:r>
          </w:hyperlink>
        </w:p>
        <w:p w14:paraId="4D62E82E" w14:textId="283A92CD" w:rsidR="003D36DC" w:rsidRDefault="003D36DC">
          <w:pPr>
            <w:pStyle w:val="TOC2"/>
            <w:tabs>
              <w:tab w:val="right" w:leader="dot" w:pos="9350"/>
            </w:tabs>
            <w:rPr>
              <w:b w:val="0"/>
              <w:bCs w:val="0"/>
              <w:noProof/>
              <w:kern w:val="2"/>
              <w:sz w:val="24"/>
              <w:szCs w:val="24"/>
              <w:lang w:eastAsia="en-US"/>
              <w14:ligatures w14:val="standardContextual"/>
            </w:rPr>
          </w:pPr>
          <w:hyperlink w:anchor="_Toc214982997" w:history="1">
            <w:r w:rsidRPr="00BA70DC">
              <w:rPr>
                <w:rStyle w:val="Hyperlink"/>
                <w:rFonts w:ascii="Times New Roman" w:hAnsi="Times New Roman" w:cs="Times New Roman"/>
                <w:i/>
                <w:iCs/>
                <w:noProof/>
              </w:rPr>
              <w:t>Alex</w:t>
            </w:r>
            <w:r>
              <w:rPr>
                <w:noProof/>
                <w:webHidden/>
              </w:rPr>
              <w:tab/>
            </w:r>
            <w:r>
              <w:rPr>
                <w:noProof/>
                <w:webHidden/>
              </w:rPr>
              <w:fldChar w:fldCharType="begin"/>
            </w:r>
            <w:r>
              <w:rPr>
                <w:noProof/>
                <w:webHidden/>
              </w:rPr>
              <w:instrText xml:space="preserve"> PAGEREF _Toc214982997 \h </w:instrText>
            </w:r>
            <w:r>
              <w:rPr>
                <w:noProof/>
                <w:webHidden/>
              </w:rPr>
            </w:r>
            <w:r>
              <w:rPr>
                <w:noProof/>
                <w:webHidden/>
              </w:rPr>
              <w:fldChar w:fldCharType="separate"/>
            </w:r>
            <w:r>
              <w:rPr>
                <w:noProof/>
                <w:webHidden/>
              </w:rPr>
              <w:t>39</w:t>
            </w:r>
            <w:r>
              <w:rPr>
                <w:noProof/>
                <w:webHidden/>
              </w:rPr>
              <w:fldChar w:fldCharType="end"/>
            </w:r>
          </w:hyperlink>
        </w:p>
        <w:p w14:paraId="6671FC6F" w14:textId="2F68C863" w:rsidR="003D36DC" w:rsidRDefault="003D36DC">
          <w:pPr>
            <w:pStyle w:val="TOC1"/>
            <w:tabs>
              <w:tab w:val="right" w:leader="dot" w:pos="9350"/>
            </w:tabs>
            <w:rPr>
              <w:b w:val="0"/>
              <w:bCs w:val="0"/>
              <w:i w:val="0"/>
              <w:iCs w:val="0"/>
              <w:noProof/>
              <w:kern w:val="2"/>
              <w:lang w:eastAsia="en-US"/>
              <w14:ligatures w14:val="standardContextual"/>
            </w:rPr>
          </w:pPr>
          <w:hyperlink w:anchor="_Toc214982998" w:history="1">
            <w:r w:rsidRPr="00BA70DC">
              <w:rPr>
                <w:rStyle w:val="Hyperlink"/>
                <w:rFonts w:ascii="Times New Roman" w:hAnsi="Times New Roman" w:cs="Times New Roman"/>
                <w:noProof/>
              </w:rPr>
              <w:t>References</w:t>
            </w:r>
            <w:r>
              <w:rPr>
                <w:noProof/>
                <w:webHidden/>
              </w:rPr>
              <w:tab/>
            </w:r>
            <w:r>
              <w:rPr>
                <w:noProof/>
                <w:webHidden/>
              </w:rPr>
              <w:fldChar w:fldCharType="begin"/>
            </w:r>
            <w:r>
              <w:rPr>
                <w:noProof/>
                <w:webHidden/>
              </w:rPr>
              <w:instrText xml:space="preserve"> PAGEREF _Toc214982998 \h </w:instrText>
            </w:r>
            <w:r>
              <w:rPr>
                <w:noProof/>
                <w:webHidden/>
              </w:rPr>
            </w:r>
            <w:r>
              <w:rPr>
                <w:noProof/>
                <w:webHidden/>
              </w:rPr>
              <w:fldChar w:fldCharType="separate"/>
            </w:r>
            <w:r>
              <w:rPr>
                <w:noProof/>
                <w:webHidden/>
              </w:rPr>
              <w:t>40</w:t>
            </w:r>
            <w:r>
              <w:rPr>
                <w:noProof/>
                <w:webHidden/>
              </w:rPr>
              <w:fldChar w:fldCharType="end"/>
            </w:r>
          </w:hyperlink>
        </w:p>
        <w:p w14:paraId="4AFC72EF" w14:textId="3A059C81" w:rsidR="005C0A70" w:rsidRPr="003D36DC" w:rsidRDefault="27F64FDA" w:rsidP="003D36DC">
          <w:pPr>
            <w:pStyle w:val="TOC1"/>
            <w:tabs>
              <w:tab w:val="right" w:leader="dot" w:pos="9345"/>
            </w:tabs>
            <w:rPr>
              <w:rFonts w:ascii="Times New Roman" w:eastAsia="Times New Roman" w:hAnsi="Times New Roman" w:cs="Times New Roman"/>
              <w:noProof/>
              <w:color w:val="0000FF"/>
              <w:kern w:val="2"/>
              <w:u w:val="single"/>
              <w:lang w:eastAsia="en-US"/>
              <w14:ligatures w14:val="standardContextual"/>
            </w:rPr>
          </w:pPr>
          <w:r>
            <w:fldChar w:fldCharType="end"/>
          </w:r>
        </w:p>
      </w:sdtContent>
    </w:sdt>
    <w:p w14:paraId="20235C01" w14:textId="05B1312C" w:rsidR="00215800" w:rsidRPr="003D36DC" w:rsidRDefault="001B5E35" w:rsidP="005C0A70">
      <w:pPr>
        <w:pStyle w:val="Heading1"/>
        <w:rPr>
          <w:rFonts w:ascii="Times New Roman" w:eastAsia="Times New Roman" w:hAnsi="Times New Roman" w:cs="Times New Roman"/>
          <w:b/>
          <w:bCs/>
          <w:color w:val="000000" w:themeColor="text1"/>
          <w:sz w:val="28"/>
          <w:szCs w:val="28"/>
        </w:rPr>
      </w:pPr>
      <w:bookmarkStart w:id="0" w:name="_Toc214982971"/>
      <w:r w:rsidRPr="003D36DC">
        <w:rPr>
          <w:rFonts w:ascii="Times New Roman" w:hAnsi="Times New Roman" w:cs="Times New Roman"/>
          <w:b/>
          <w:bCs/>
          <w:color w:val="000000" w:themeColor="text1"/>
          <w:sz w:val="28"/>
          <w:szCs w:val="28"/>
        </w:rPr>
        <w:t>Health</w:t>
      </w:r>
      <w:r w:rsidR="00236FD6" w:rsidRPr="003D36DC">
        <w:rPr>
          <w:rFonts w:ascii="Times New Roman" w:hAnsi="Times New Roman" w:cs="Times New Roman"/>
          <w:b/>
          <w:bCs/>
          <w:color w:val="000000" w:themeColor="text1"/>
          <w:sz w:val="28"/>
          <w:szCs w:val="28"/>
        </w:rPr>
        <w:t xml:space="preserve"> Section</w:t>
      </w:r>
      <w:bookmarkEnd w:id="0"/>
    </w:p>
    <w:p w14:paraId="5793DA4B" w14:textId="77777777" w:rsidR="00215800" w:rsidRDefault="00215800" w:rsidP="00215800">
      <w:pPr>
        <w:pStyle w:val="NormalWeb"/>
        <w:spacing w:before="0" w:beforeAutospacing="0" w:after="0" w:afterAutospacing="0" w:line="480" w:lineRule="auto"/>
        <w:ind w:firstLine="720"/>
      </w:pPr>
      <w:r>
        <w:rPr>
          <w:color w:val="000000"/>
        </w:rPr>
        <w:t>Bipolar disorder is a chronic mental illness that is often characterized by abrupt changes in mood, energy, and activity levels. The most common definition is the presence of recurrent episodes of mania or hypomanic episodes punctuated by depressive episodes. The episodes of bipolar illness are severe enough to interfere with social, professional, or everyday functioning, which sets it apart from typical mood swings. ​​According to the National Institute of Mental Health, approximately 2.8% of American adults experience bipolar disease in any given year, with 83% of cases being classified as severe (NIH, 2022). The World Health Organization ranks bipolar disorder among the leading causes of disability worldwide (WHO, 2025). There are three major subtypes of bipolar disorder recognized: Bipolar I disorder, which involves at least one manic episode; Bipolar II disorder, which includes hypomanic and depressive episodes but no full manic episodes; and Cyclothymic disorder, which is characterized by milder, fluctuating mood symptoms lasting at least two years (NIH, 2025). It typically begins in late adolescence or early adulthood and is one of the primary causes of disability in young individuals (NAMI, 2017). Bipolar disease is often misdiagnosed as unipolar depression, especially in young adults in early stages, leading to the delayed proper treatment for an average of 6-10 years, contributing to worsened conditions and outcomes. </w:t>
      </w:r>
    </w:p>
    <w:p w14:paraId="5E2A66AE" w14:textId="57F928DD" w:rsidR="00215800" w:rsidRDefault="00215800" w:rsidP="66C8CD3B">
      <w:pPr>
        <w:pStyle w:val="NormalWeb"/>
        <w:spacing w:before="0" w:beforeAutospacing="0" w:after="0" w:afterAutospacing="0" w:line="480" w:lineRule="auto"/>
        <w:ind w:firstLine="720"/>
      </w:pPr>
      <w:r w:rsidRPr="66C8CD3B">
        <w:rPr>
          <w:color w:val="000000" w:themeColor="text1"/>
        </w:rPr>
        <w:t xml:space="preserve">There are several contributing variables to bipolar </w:t>
      </w:r>
      <w:r w:rsidR="2A6B216E" w:rsidRPr="00F18318">
        <w:rPr>
          <w:color w:val="000000" w:themeColor="text1"/>
        </w:rPr>
        <w:t>disorders</w:t>
      </w:r>
      <w:r w:rsidRPr="00F18318">
        <w:rPr>
          <w:color w:val="000000" w:themeColor="text1"/>
        </w:rPr>
        <w:t>.</w:t>
      </w:r>
      <w:r w:rsidRPr="66C8CD3B">
        <w:rPr>
          <w:color w:val="000000" w:themeColor="text1"/>
        </w:rPr>
        <w:t xml:space="preserve"> Genetics is important since having a first-degree relative with bipolar disorder significantly raises risk. Neurobiological factors, including the dysregulation of neurotransmitter systems such as dopamine, serotonin, and norepinephrine, are also implicated (Charney et al., 2020). Environmental factors, including trauma, chronic stress, or exposure to violence, can cause </w:t>
      </w:r>
      <w:r w:rsidR="3CE71C52" w:rsidRPr="66C8CD3B">
        <w:rPr>
          <w:color w:val="000000" w:themeColor="text1"/>
        </w:rPr>
        <w:t>illness</w:t>
      </w:r>
      <w:r w:rsidRPr="66C8CD3B">
        <w:rPr>
          <w:color w:val="000000" w:themeColor="text1"/>
        </w:rPr>
        <w:t xml:space="preserve"> or exacerbate it. Additionally, people with bipolar disorder frequently have comorbid conditions such as substance use disorders, post-traumatic stress disorder, or anxiety disorders, which makes diagnosis and treatment more challenging. Cardiovascular disease, obesity, and diabetes are among the most common conditions in people with bipolar disease, partly due to both the illness itself and the side effects of medications, linking mental health to broader chronic disease risk (Spoorthy et al., 2019). Irregular sleep is also one of the characteristics that act as both a risk factor and a trigger. Studies show that circadian rhythm disturbances play a role in the onset of manic episodes (Gold et al., 2016). It is also proven that women with bipolar disease are more prone to experience rapid cycling, four or more mood episodes per year, and mixed episodes, while men present with earlier onset mania (Parial et al., 2015). </w:t>
      </w:r>
    </w:p>
    <w:p w14:paraId="1BB20F95" w14:textId="77777777" w:rsidR="00215800" w:rsidRPr="003D36DC" w:rsidRDefault="00215800" w:rsidP="00215800">
      <w:pPr>
        <w:pStyle w:val="NormalWeb"/>
        <w:spacing w:before="0" w:beforeAutospacing="0" w:after="0" w:afterAutospacing="0" w:line="480" w:lineRule="auto"/>
        <w:ind w:firstLine="720"/>
        <w:rPr>
          <w:color w:val="000000" w:themeColor="text1"/>
        </w:rPr>
      </w:pPr>
      <w:r>
        <w:rPr>
          <w:color w:val="000000"/>
        </w:rPr>
        <w:t xml:space="preserve">Bipolar disorder symptoms usually fall into two categories: depressive episodes, which are marked by low motivation, exhaustion, poor concentration, and suicidal thoughts; and manic or hypomanic episodes, which include impulsivity, racing thoughts, decreased need for sleep, pressured speech, and risky behavior (Jain et al., 2023). These episodes can happen more than once in a person's lifetime and last anywhere from a few days to several months. Even outside of mood episodes, many people who experience bipolar disorder deal with difficulties with memory, concentration, and functioning, leading to challenges in school or workplace settings (Sanches et al., 2015). The frequent upheavals all severely impact relationships, jobs, and financial stability. Additionally, by encouraging poor adherence, the adverse effects of </w:t>
      </w:r>
      <w:r w:rsidRPr="003D36DC">
        <w:rPr>
          <w:color w:val="000000" w:themeColor="text1"/>
        </w:rPr>
        <w:t>pharmaceutical therapy, such as fatigue and weight gain, may increase the chance of recurrence. </w:t>
      </w:r>
    </w:p>
    <w:p w14:paraId="190C8FF6" w14:textId="77777777" w:rsidR="00215800" w:rsidRPr="003D36DC" w:rsidRDefault="00215800" w:rsidP="00215800">
      <w:pPr>
        <w:pStyle w:val="NormalWeb"/>
        <w:spacing w:before="0" w:beforeAutospacing="0" w:after="0" w:afterAutospacing="0" w:line="480" w:lineRule="auto"/>
        <w:rPr>
          <w:color w:val="000000" w:themeColor="text1"/>
        </w:rPr>
      </w:pPr>
      <w:r w:rsidRPr="003D36DC">
        <w:rPr>
          <w:rStyle w:val="apple-tab-span"/>
          <w:rFonts w:ascii="Arial" w:hAnsi="Arial" w:cs="Arial"/>
          <w:color w:val="000000" w:themeColor="text1"/>
          <w:sz w:val="22"/>
          <w:szCs w:val="22"/>
        </w:rPr>
        <w:tab/>
      </w:r>
      <w:r w:rsidRPr="003D36DC">
        <w:rPr>
          <w:color w:val="000000" w:themeColor="text1"/>
        </w:rPr>
        <w:t>There is no known way to prevent bipolar disorder due to its strong genetic component combined with the impact of environmental factors. However, seeking treatment as soon as you notice warning signs can help prevent the condition from progressing (Mayo, 2024). There are ways to manage the condition and limit episodes, such as adhering to a regular sleep schedule, stress management techniques, avoiding drug/alcohol use, and seeking prompt treatment when presenting warning signs. Sleep disruptions are proven to cause bipolar instability, so maintaining a strict schedule is very important for managing this condition (Mayo, 2024) Drinking alcohol and doing drugs can also make your symptoms worse and even increase the likelihood of symptom recurrence (Mayo, 2024). Additionally, speaking with your care team about symptoms early on can stop episodes from getting worse, and can help doctors identify a pattern to what is causing your symptoms. This is critical in determining the best methods of treatment for your situation. </w:t>
      </w:r>
    </w:p>
    <w:p w14:paraId="11FB9920" w14:textId="77777777" w:rsidR="00215800" w:rsidRPr="003D36DC" w:rsidRDefault="00215800" w:rsidP="66C8CD3B">
      <w:pPr>
        <w:pStyle w:val="NormalWeb"/>
        <w:spacing w:before="0" w:beforeAutospacing="0" w:after="0" w:afterAutospacing="0" w:line="480" w:lineRule="auto"/>
        <w:ind w:firstLine="720"/>
        <w:rPr>
          <w:color w:val="000000" w:themeColor="text1"/>
        </w:rPr>
      </w:pPr>
      <w:r w:rsidRPr="003D36DC">
        <w:rPr>
          <w:color w:val="000000" w:themeColor="text1"/>
        </w:rPr>
        <w:t xml:space="preserve">When treating bipolar disorder, mental health professionals will utilize a combination of medicinal and therapeutic approaches. “Bipolar is a lifelong condition, with treatment directed to manage symptoms” (Mayo, 2024). Medication typically used to treat bipolar disorder consists of mood stabilizers and antipsychotics, which are proven to help with managing acute mania (NIH, 2025). These medicines are often taken right away to begin stabilizing and balancing an individual’s mood. Antidepressants should be taken during the manic episode and can be combined with mood stabilizers/antipsychotics during depressive episodes. In addition to medication, some individuals will require intensive outpatient programs or partial hospitalization. These types of programs provide intensive support and counseling to patients that consists of a few hours per day for several weeks, mainly to help get symptoms under control (Mayo, 2024). These programs are great opportunities for working people, as they can schedule their counseling sessions outside of their job hours. However, some individuals may require a longer hospital stay, especially if the individual is exhibiting dangerous behaviors or thoughts about committing suicide (Mayo, 2024). Getting mental health treatment while in such a vulnerable state is necessary, and hospitals are trained to help keep individuals calm and safe while stabilizing their mood.  Many individuals with bipolar disorder continue taking medication for the rest of their lives, even when they’re feeling much better. If medicine is stopped for even one day, symptoms could return, and minor mood swings could turn into a downward spiral of mania or depression (Mayo 2024). Adults with bipolar who are actively in remission with zero symptoms must continue their mood stabilizers and antipsychotic medications for at least 6 months. Individuals facing multiple episodes of mania depression usually require more long-term treatment to minimize the possibility of </w:t>
      </w:r>
      <w:bookmarkStart w:id="1" w:name="_Int_vAE9NlU0"/>
      <w:r w:rsidRPr="003D36DC">
        <w:rPr>
          <w:color w:val="000000" w:themeColor="text1"/>
        </w:rPr>
        <w:t>relapse</w:t>
      </w:r>
      <w:bookmarkEnd w:id="1"/>
      <w:r w:rsidRPr="003D36DC">
        <w:rPr>
          <w:color w:val="000000" w:themeColor="text1"/>
        </w:rPr>
        <w:t>. </w:t>
      </w:r>
    </w:p>
    <w:p w14:paraId="7C2E2269" w14:textId="7ABACAE7" w:rsidR="00215800" w:rsidRPr="003D36DC" w:rsidRDefault="00215800" w:rsidP="66C8CD3B">
      <w:pPr>
        <w:pStyle w:val="NormalWeb"/>
        <w:spacing w:before="0" w:beforeAutospacing="0" w:after="0" w:afterAutospacing="0" w:line="480" w:lineRule="auto"/>
        <w:ind w:firstLine="720"/>
        <w:rPr>
          <w:color w:val="000000" w:themeColor="text1"/>
        </w:rPr>
      </w:pPr>
      <w:r w:rsidRPr="003D36DC">
        <w:rPr>
          <w:color w:val="000000" w:themeColor="text1"/>
        </w:rPr>
        <w:t xml:space="preserve">Common psychological interventions used to treat bipolar disorder include cognitive behavioral therapy, interpersonal therapy, and psychoeducation. Cognitive-behavioral therapy, or CBT, focuses on “identifying unhealthy, negative beliefs and behaviors and replacing them with healthy, positive beliefs and behaviors.” (Mayo, 2024). CBT can also help individuals identify patterns that may </w:t>
      </w:r>
      <w:r w:rsidR="6F803E80" w:rsidRPr="003D36DC">
        <w:rPr>
          <w:color w:val="000000" w:themeColor="text1"/>
        </w:rPr>
        <w:t>trigger</w:t>
      </w:r>
      <w:r w:rsidRPr="003D36DC">
        <w:rPr>
          <w:color w:val="000000" w:themeColor="text1"/>
        </w:rPr>
        <w:t xml:space="preserve"> their bipolar episodes. Interpersonal therapy is another common intervention, which focuses on “stabilizing daily rhythms, including sleeping, waking and eating.” (Mayo, 2025). Regulating a normal sleep-wake cycle along with a healthy diet and exercise routine can help people with bipolar disorder. Psychoeducation, which is learning about your condition, can help you as well as friends and family understand more about the condition (Mayo, 2025). This treatment method can help your support system know how to help you, whether that’s symptom management, safety plans, or finding support. These treatment methods have been proven to effectively reduce depressive symptoms and the possibility of relapse. Recovery-oriented interventions promote independence and inclusion, which can consist of supported employment or housing, peer support, and life skills training. These interventions are effective particularly for youth with bipolar disorder as they facilitate the "acquisition of skills for coping with stress, developing social supports, and achieving autonomy” (del Mar Bonnin et. al, 2022). </w:t>
      </w:r>
    </w:p>
    <w:p w14:paraId="10EB026B" w14:textId="77777777" w:rsidR="00215800" w:rsidRPr="003D36DC" w:rsidRDefault="00215800" w:rsidP="00215800">
      <w:pPr>
        <w:pStyle w:val="NormalWeb"/>
        <w:spacing w:before="0" w:beforeAutospacing="0" w:after="0" w:afterAutospacing="0" w:line="480" w:lineRule="auto"/>
        <w:ind w:firstLine="720"/>
        <w:rPr>
          <w:color w:val="000000" w:themeColor="text1"/>
        </w:rPr>
      </w:pPr>
      <w:r w:rsidRPr="003D36DC">
        <w:rPr>
          <w:color w:val="000000" w:themeColor="text1"/>
        </w:rPr>
        <w:t>Intimate partner violence (IPV) is one of the most widespread yet preventable forms of violence across the globe. It is defined by the Centers for Disease Control and Prevention (CDC) as “abuse or aggression that occurs in a romantic relationship,” including current or former spouses and dating partners. IPV includes physical, sexual, psychological, and stalking behaviors, which may occur individually or in combination (CDC, 2024). Because of its broad prevalence, severe health impacts, and societal consequences, IPV has been recognized as a major public health crisis requiring coordinated prevention and intervention efforts (Breiding et al., 2015).</w:t>
      </w:r>
    </w:p>
    <w:p w14:paraId="22C8887B" w14:textId="77777777" w:rsidR="00215800" w:rsidRPr="003D36DC" w:rsidRDefault="00215800" w:rsidP="00215800">
      <w:pPr>
        <w:pStyle w:val="NormalWeb"/>
        <w:spacing w:before="0" w:beforeAutospacing="0" w:after="0" w:afterAutospacing="0" w:line="480" w:lineRule="auto"/>
        <w:rPr>
          <w:color w:val="000000" w:themeColor="text1"/>
        </w:rPr>
      </w:pPr>
      <w:r w:rsidRPr="003D36DC">
        <w:rPr>
          <w:rStyle w:val="apple-tab-span"/>
          <w:color w:val="000000" w:themeColor="text1"/>
        </w:rPr>
        <w:tab/>
      </w:r>
      <w:r w:rsidRPr="003D36DC">
        <w:rPr>
          <w:color w:val="000000" w:themeColor="text1"/>
        </w:rPr>
        <w:t>The CDC identifies four main forms of IPV. Physical violence includes acts such as hitting, kicking, choking, or otherwise inflicting bodily harm. Sexual violence involves repeated unwanted attention, surveillance, or contact that induces fear for safety. Finally, psychological aggression refers to verbal and non-verbal communication intended to humiliate, intimidate, control, or manipulate a partner. These forms of violence may occur as isolated events but more commonly overlap, creating compounded harm for victims (CDC, 2024).</w:t>
      </w:r>
    </w:p>
    <w:p w14:paraId="0228A6B6" w14:textId="77777777" w:rsidR="00215800" w:rsidRPr="003D36DC" w:rsidRDefault="00215800" w:rsidP="00215800">
      <w:pPr>
        <w:pStyle w:val="NormalWeb"/>
        <w:spacing w:before="0" w:beforeAutospacing="0" w:after="0" w:afterAutospacing="0" w:line="480" w:lineRule="auto"/>
        <w:rPr>
          <w:color w:val="000000" w:themeColor="text1"/>
        </w:rPr>
      </w:pPr>
      <w:r w:rsidRPr="003D36DC">
        <w:rPr>
          <w:rStyle w:val="apple-tab-span"/>
          <w:color w:val="000000" w:themeColor="text1"/>
        </w:rPr>
        <w:tab/>
      </w:r>
      <w:r w:rsidRPr="003D36DC">
        <w:rPr>
          <w:color w:val="000000" w:themeColor="text1"/>
        </w:rPr>
        <w:t>IPV is pervasive in the United States. Data from the National Intimate Partner and Sexual Violence Survey (NISVS) indicate that 44.2% of men (52.1 million) and nearly one in four women have experienced some form of IPV in their lifetimes (CDC, 2022). Among adolescents, one in twelve teens experience physical dating violence and one in 10 experience sexual dating violence (CDC, 2024). Research consistently shows that women are disproportionately affected, though men also experience substantial victimization (Smith et al., 2018).</w:t>
      </w:r>
    </w:p>
    <w:p w14:paraId="3E28B322" w14:textId="77777777" w:rsidR="00B5667B" w:rsidRPr="003D36DC" w:rsidRDefault="00215800" w:rsidP="00B5667B">
      <w:pPr>
        <w:pStyle w:val="NormalWeb"/>
        <w:spacing w:before="0" w:beforeAutospacing="0" w:after="0" w:afterAutospacing="0" w:line="480" w:lineRule="auto"/>
        <w:rPr>
          <w:color w:val="000000" w:themeColor="text1"/>
        </w:rPr>
      </w:pPr>
      <w:r w:rsidRPr="003D36DC">
        <w:rPr>
          <w:rStyle w:val="apple-tab-span"/>
          <w:color w:val="000000" w:themeColor="text1"/>
        </w:rPr>
        <w:tab/>
      </w:r>
      <w:r w:rsidRPr="003D36DC">
        <w:rPr>
          <w:color w:val="000000" w:themeColor="text1"/>
        </w:rPr>
        <w:t>The effects of IPV extend far beyond immediate injuries. Survivors frequently experience long-term physical health issues such as chronic pain, gastrointestinal problems, and reproductive health complications (Campbell, 2002). Mental health outcomes include post-traumatic stress disorder (PTSD), depression, anxiety, and substance misuse (Devries et al., 2023). IPV is also linked to unintended pregnancies, low birth weight, and infant mortality (Hill et al., 2016). Furthermore, children exposed to IPV, whether as direct witnesses or bystanders, face heightened risks of emotional and behavioral problems (Howell et al., 2016).</w:t>
      </w:r>
    </w:p>
    <w:p w14:paraId="09D543B7" w14:textId="39470E9B" w:rsidR="00F18318" w:rsidRDefault="00F18318" w:rsidP="00F18318">
      <w:pPr>
        <w:pStyle w:val="NormalWeb"/>
        <w:spacing w:before="0" w:beforeAutospacing="0" w:after="0" w:afterAutospacing="0" w:line="480" w:lineRule="auto"/>
        <w:rPr>
          <w:color w:val="741B47"/>
        </w:rPr>
      </w:pPr>
    </w:p>
    <w:p w14:paraId="5E73A060" w14:textId="4AF4C257" w:rsidR="00215800" w:rsidRPr="00E270BE" w:rsidRDefault="001B5E35" w:rsidP="00E270BE">
      <w:pPr>
        <w:pStyle w:val="Heading1"/>
        <w:rPr>
          <w:rFonts w:ascii="Times New Roman" w:hAnsi="Times New Roman" w:cs="Times New Roman"/>
          <w:b/>
          <w:bCs/>
          <w:color w:val="000000" w:themeColor="text1"/>
          <w:sz w:val="28"/>
          <w:szCs w:val="28"/>
        </w:rPr>
      </w:pPr>
      <w:bookmarkStart w:id="2" w:name="_Toc214982972"/>
      <w:r w:rsidRPr="27F64FDA">
        <w:rPr>
          <w:rFonts w:ascii="Times New Roman" w:hAnsi="Times New Roman" w:cs="Times New Roman"/>
          <w:b/>
          <w:bCs/>
          <w:color w:val="000000" w:themeColor="text1"/>
          <w:sz w:val="28"/>
          <w:szCs w:val="28"/>
        </w:rPr>
        <w:t>Culture</w:t>
      </w:r>
      <w:r w:rsidR="00236FD6" w:rsidRPr="27F64FDA">
        <w:rPr>
          <w:rFonts w:ascii="Times New Roman" w:hAnsi="Times New Roman" w:cs="Times New Roman"/>
          <w:b/>
          <w:bCs/>
          <w:color w:val="000000" w:themeColor="text1"/>
          <w:sz w:val="28"/>
          <w:szCs w:val="28"/>
        </w:rPr>
        <w:t xml:space="preserve"> Section</w:t>
      </w:r>
      <w:bookmarkEnd w:id="2"/>
    </w:p>
    <w:p w14:paraId="45797900" w14:textId="77777777" w:rsidR="00215800" w:rsidRPr="003D36DC" w:rsidRDefault="00215800" w:rsidP="66C8CD3B">
      <w:pPr>
        <w:pStyle w:val="NormalWeb"/>
        <w:spacing w:before="0" w:beforeAutospacing="0" w:after="0" w:afterAutospacing="0" w:line="480" w:lineRule="auto"/>
        <w:ind w:firstLine="720"/>
        <w:rPr>
          <w:color w:val="000000" w:themeColor="text1"/>
        </w:rPr>
      </w:pPr>
      <w:r w:rsidRPr="003D36DC">
        <w:rPr>
          <w:color w:val="000000" w:themeColor="text1"/>
        </w:rPr>
        <w:t>There are various social, economic, and cultural determinants of bipolar disorder. To start, it is important to note that no one knows the exact cause of bipolar disorder nor what triggers an onset of bipolar disorder and symptoms (Mind UK, 2022). Since this is the case, many people who have bipolar disorder are met with stigma from family or community members (Latifian, et al., 2023). A systematic review published in the International Journal of Bipolar Disorders analyzed numerous articles and summarized the findings into key themes. Two of these themes included stigma experienced by people living with bipolar disorder and consequences of stigma in those living with bipolar disorder (Latifian, et al., 2023). The first theme described involves how those with bipolar disorder are labeled in a negative manner by society (Latifian, et al., 2023). Family members of those with bipolar are also blamed for symptoms becoming presentable and allowing the disease to progress (Latifian, et al., 2023). Because of this, family members feel forced to hide their loved one who has bipolar disorder from the community (Latifian, et al., 2023). The second theme deals with the consequences of stigma surrounding bipolar disorder. The main consequence is psychological harm and distress from feeling forced to hide away and mask their symptoms (Latifian, et al., 2023). </w:t>
      </w:r>
    </w:p>
    <w:p w14:paraId="6023D282" w14:textId="3858BC5F" w:rsidR="00215800" w:rsidRPr="003D36DC" w:rsidRDefault="00215800" w:rsidP="66C8CD3B">
      <w:pPr>
        <w:pStyle w:val="NormalWeb"/>
        <w:spacing w:before="0" w:beforeAutospacing="0" w:after="0" w:afterAutospacing="0" w:line="480" w:lineRule="auto"/>
        <w:rPr>
          <w:color w:val="000000" w:themeColor="text1"/>
        </w:rPr>
      </w:pPr>
      <w:r w:rsidRPr="003D36DC">
        <w:rPr>
          <w:rStyle w:val="apple-tab-span"/>
          <w:color w:val="000000" w:themeColor="text1"/>
        </w:rPr>
        <w:tab/>
      </w:r>
      <w:r w:rsidRPr="003D36DC">
        <w:rPr>
          <w:color w:val="000000" w:themeColor="text1"/>
        </w:rPr>
        <w:t xml:space="preserve">In addition to stigma, there are numerous other determinants that affect the risk of bipolar disorder. A list of social and cultural determinants </w:t>
      </w:r>
      <w:r w:rsidR="336E12E2" w:rsidRPr="003D36DC">
        <w:rPr>
          <w:color w:val="000000" w:themeColor="text1"/>
        </w:rPr>
        <w:t>includes</w:t>
      </w:r>
      <w:r w:rsidRPr="003D36DC">
        <w:rPr>
          <w:color w:val="000000" w:themeColor="text1"/>
        </w:rPr>
        <w:t xml:space="preserve"> childhood trauma, family links, stressful life events, and drugs, alcohol, and medications (Mind UK, 2022). To begin with childhood trauma, many experts believe that undergoing emotional distress in the early years of development can cause an onset of bipolar disorder (Mind UK, 2022). This emotional distress can include experiences such as neglect, traumatic events, losing a close friend or family member, and abuse ranging from sexual to emotional (Mind UK, 2022). </w:t>
      </w:r>
    </w:p>
    <w:p w14:paraId="594FB970" w14:textId="44E65F4C" w:rsidR="00215800" w:rsidRPr="003D36DC" w:rsidRDefault="00215800" w:rsidP="66C8CD3B">
      <w:pPr>
        <w:pStyle w:val="NormalWeb"/>
        <w:spacing w:before="0" w:beforeAutospacing="0" w:after="0" w:afterAutospacing="0" w:line="480" w:lineRule="auto"/>
        <w:rPr>
          <w:color w:val="000000" w:themeColor="text1"/>
        </w:rPr>
      </w:pPr>
      <w:r w:rsidRPr="003D36DC">
        <w:rPr>
          <w:rStyle w:val="apple-tab-span"/>
          <w:color w:val="000000" w:themeColor="text1"/>
        </w:rPr>
        <w:tab/>
      </w:r>
      <w:r w:rsidRPr="003D36DC">
        <w:rPr>
          <w:color w:val="000000" w:themeColor="text1"/>
        </w:rPr>
        <w:t xml:space="preserve">Someone is more likely to have bipolar disorder if they have a family member who also experiences bipolar disorder or </w:t>
      </w:r>
      <w:r w:rsidR="2F1F51B2" w:rsidRPr="003D36DC">
        <w:rPr>
          <w:color w:val="000000" w:themeColor="text1"/>
        </w:rPr>
        <w:t>symptoms;</w:t>
      </w:r>
      <w:r w:rsidRPr="003D36DC">
        <w:rPr>
          <w:color w:val="000000" w:themeColor="text1"/>
        </w:rPr>
        <w:t xml:space="preserve"> this is known as a family link (Mind UK, 2022). This does not mean a formal diagnosis is needed (Mind UK, 2022). This reiterates the idea that family members are a big influence on how one grows up and what environment one grows up in (Mind UK, 2022). A family link does not mean that there is a singular genetic answer to bipolar </w:t>
      </w:r>
      <w:r w:rsidR="05F91CF5" w:rsidRPr="003D36DC">
        <w:rPr>
          <w:color w:val="000000" w:themeColor="text1"/>
        </w:rPr>
        <w:t>disorder;</w:t>
      </w:r>
      <w:r w:rsidRPr="003D36DC">
        <w:rPr>
          <w:color w:val="000000" w:themeColor="text1"/>
        </w:rPr>
        <w:t xml:space="preserve"> it focuses on how familial relationships can be a determinant of health, in this case the onset of bipolar disorder (Mind UK, 2022). </w:t>
      </w:r>
    </w:p>
    <w:p w14:paraId="6289F353" w14:textId="77777777" w:rsidR="00215800" w:rsidRPr="003D36DC" w:rsidRDefault="00215800" w:rsidP="66C8CD3B">
      <w:pPr>
        <w:pStyle w:val="NormalWeb"/>
        <w:spacing w:before="0" w:beforeAutospacing="0" w:after="0" w:afterAutospacing="0" w:line="480" w:lineRule="auto"/>
        <w:rPr>
          <w:color w:val="000000" w:themeColor="text1"/>
        </w:rPr>
      </w:pPr>
      <w:r w:rsidRPr="003D36DC">
        <w:rPr>
          <w:rStyle w:val="apple-tab-span"/>
          <w:color w:val="000000" w:themeColor="text1"/>
        </w:rPr>
        <w:tab/>
      </w:r>
      <w:r w:rsidRPr="003D36DC">
        <w:rPr>
          <w:color w:val="000000" w:themeColor="text1"/>
        </w:rPr>
        <w:t xml:space="preserve">Stressful life events have been thought to trigger an onset of symptoms of bipolar disorder (Mind UK, 2022). For some, this means that a singular stressful event can trigger a mood episode and for others it means that a combination of events will trigger the onset of symptoms (Mind UK, 2022). Some examples of stressful events include being abused, experiencing trauma, big events like holidays or weddings, feeling lonely, and losing a close friend or family member (Mind UK, 2022). Another example of a stressful life event is financial worries and poverty, which can also be seen as an economic determinant of bipolar disorder (Mind UK, 2022). All of the determinants overlap with each other and influence </w:t>
      </w:r>
      <w:r w:rsidR="2E9A6504" w:rsidRPr="003D36DC">
        <w:rPr>
          <w:color w:val="000000" w:themeColor="text1"/>
        </w:rPr>
        <w:t>one another;</w:t>
      </w:r>
      <w:r w:rsidRPr="003D36DC">
        <w:rPr>
          <w:color w:val="000000" w:themeColor="text1"/>
        </w:rPr>
        <w:t xml:space="preserve"> one determinant is not restricted to a singular category. </w:t>
      </w:r>
    </w:p>
    <w:p w14:paraId="614897BC" w14:textId="77777777" w:rsidR="00215800" w:rsidRPr="003D36DC" w:rsidRDefault="00215800" w:rsidP="00215800">
      <w:pPr>
        <w:pStyle w:val="NormalWeb"/>
        <w:spacing w:before="0" w:beforeAutospacing="0" w:after="0" w:afterAutospacing="0" w:line="480" w:lineRule="auto"/>
        <w:rPr>
          <w:color w:val="000000" w:themeColor="text1"/>
        </w:rPr>
      </w:pPr>
      <w:r w:rsidRPr="003D36DC">
        <w:rPr>
          <w:rStyle w:val="apple-tab-span"/>
          <w:color w:val="000000" w:themeColor="text1"/>
        </w:rPr>
        <w:tab/>
      </w:r>
      <w:r w:rsidRPr="003D36DC">
        <w:rPr>
          <w:color w:val="000000" w:themeColor="text1"/>
        </w:rPr>
        <w:t>Another determinant of bipolar disorder is the use of drugs, alcohol, and medication (Mind UK, 2022). Using alcohol and recreational drugs can potentially cause someone to have symptoms that mimic mania and depression, it is hard to differentiate the two (Mind UK, 2022). The use of medication is a little more complex. Certain medications can cause mania as a side effect in two ways: as a potential side effect or as a symptom of withdrawal if someone were to stop using the medication (Mind UK, 2022). </w:t>
      </w:r>
    </w:p>
    <w:p w14:paraId="38F1E64F" w14:textId="77777777" w:rsidR="00215800" w:rsidRPr="003D36DC" w:rsidRDefault="00215800" w:rsidP="00215800">
      <w:pPr>
        <w:pStyle w:val="NormalWeb"/>
        <w:spacing w:before="0" w:beforeAutospacing="0" w:after="0" w:afterAutospacing="0" w:line="480" w:lineRule="auto"/>
        <w:ind w:firstLine="720"/>
        <w:rPr>
          <w:color w:val="000000" w:themeColor="text1"/>
        </w:rPr>
      </w:pPr>
      <w:r w:rsidRPr="003D36DC">
        <w:rPr>
          <w:color w:val="000000" w:themeColor="text1"/>
        </w:rPr>
        <w:t>Gender is also a predictor and determinant when it comes to bipolar disorder risk and protection (Gardea-Resendez et al., 2025). A cross-sectional analysis published in the Journal of Bipolar Disorders found that various social determinants of health were more influential in women compared to men (Gardea-Resendez et al., 2025). Women were more likely than men to have a lack of familial support (25% versus 42%) and women were more likely than men to have financial difficulties (49% versus 53%) (Gardea-Resendez et al., 2025). Additionally, when it came to healthcare coverage and healthcare access women were less likely to have access to these services when compared to their male counterparts (Gardea-Resendez et al., 2025).</w:t>
      </w:r>
    </w:p>
    <w:p w14:paraId="331D2477" w14:textId="77777777" w:rsidR="00215800" w:rsidRPr="003D36DC" w:rsidRDefault="00215800" w:rsidP="00215800">
      <w:pPr>
        <w:pStyle w:val="NormalWeb"/>
        <w:spacing w:before="0" w:beforeAutospacing="0" w:after="0" w:afterAutospacing="0" w:line="480" w:lineRule="auto"/>
        <w:ind w:firstLine="720"/>
        <w:rPr>
          <w:color w:val="000000" w:themeColor="text1"/>
        </w:rPr>
      </w:pPr>
      <w:r w:rsidRPr="003D36DC">
        <w:rPr>
          <w:color w:val="000000" w:themeColor="text1"/>
        </w:rPr>
        <w:t>IPV affects people across gender, age, and socioeconomic status, with disproportionate impacts on women and marginalized groups. Pregnancy does not shield women from IPV and may in fact increase vulnerability. CDC surveillance data indicates that 5.4% of women with live births reported experiencing IPV during pregnancy between 2016 and 2022 (CDC, 2024). IPV during pregnancy is strongly associated with delayed prenatal care, maternal depression, substance use, and adverse birth outcomes. These risks emphasize the critical need for screening and intervention in prenatal care settings.</w:t>
      </w:r>
    </w:p>
    <w:p w14:paraId="000CB2D0" w14:textId="77777777" w:rsidR="00215800" w:rsidRPr="003D36DC" w:rsidRDefault="00215800" w:rsidP="66C8CD3B">
      <w:pPr>
        <w:pStyle w:val="NormalWeb"/>
        <w:spacing w:before="0" w:beforeAutospacing="0" w:after="0" w:afterAutospacing="0" w:line="480" w:lineRule="auto"/>
        <w:ind w:firstLine="720"/>
        <w:rPr>
          <w:color w:val="000000" w:themeColor="text1"/>
        </w:rPr>
      </w:pPr>
      <w:r w:rsidRPr="003D36DC">
        <w:rPr>
          <w:color w:val="000000" w:themeColor="text1"/>
        </w:rPr>
        <w:t>IPV does not arise from a single cause but is shaped by multiple risk factors across the individual, relationship, community, and societal levels (CDC, 2024). At the individual level, risk factors include young age, substance abuse, depression, and early exposure to violence. Relationship-level risks include jealousy, dominance, and economic stress. Communities with high poverty, crime, and low cohesion further increase vulnerability. On a societal scale, cultural norms that condone aggression, gender inequality, and inadequate enforcement of IPV laws exacerbate the problem (Capaldi et al., 2012). IPV results in significant economic costs, including healthcare expenditures, lost productivity, and justice system burdens (Peterson et al., 2018). </w:t>
      </w:r>
    </w:p>
    <w:p w14:paraId="26A397B7" w14:textId="3C56A52F" w:rsidR="00B5667B" w:rsidRPr="003D36DC" w:rsidRDefault="00B5667B" w:rsidP="00B5667B">
      <w:pPr>
        <w:pStyle w:val="NormalWeb"/>
        <w:spacing w:before="0" w:beforeAutospacing="0" w:after="0" w:afterAutospacing="0" w:line="480" w:lineRule="auto"/>
        <w:ind w:firstLine="720"/>
        <w:rPr>
          <w:color w:val="000000" w:themeColor="text1"/>
        </w:rPr>
      </w:pPr>
      <w:r w:rsidRPr="003D36DC">
        <w:rPr>
          <w:color w:val="000000" w:themeColor="text1"/>
        </w:rPr>
        <w:t>Since</w:t>
      </w:r>
      <w:r w:rsidR="00215800" w:rsidRPr="003D36DC">
        <w:rPr>
          <w:color w:val="000000" w:themeColor="text1"/>
        </w:rPr>
        <w:t xml:space="preserve"> IPV emerges from complex social, cultural, and psychological processes, prevention must be multi-level and comprehensive. Effective programs emphasize communication skills, conflict resolution, critical reflection on harmful gender norms, and community engagement (Ellsberg et al., 2015). Trauma-informed care and psychoeducational programs support survivors’ healing, while coordinated services among healthcare, legal, and social systems ensure safety and long-term stability (WHO, 2021). Despite progress, significant gaps remain in adolescent-focused programs, post-abuse interventions, and integrated global strategies (Yoshihama et al., 2024). As a preventable problem, IPV should remain at the forefront of public health, policy, and clinical practice.</w:t>
      </w:r>
    </w:p>
    <w:p w14:paraId="68D1FBEA" w14:textId="628492F7" w:rsidR="00215800" w:rsidRPr="001D1FE5" w:rsidRDefault="00215800" w:rsidP="001D1FE5">
      <w:pPr>
        <w:pStyle w:val="Heading1"/>
        <w:rPr>
          <w:rFonts w:ascii="Times New Roman" w:hAnsi="Times New Roman" w:cs="Times New Roman"/>
          <w:b/>
          <w:bCs/>
          <w:color w:val="000000" w:themeColor="text1"/>
          <w:sz w:val="28"/>
          <w:szCs w:val="28"/>
        </w:rPr>
      </w:pPr>
      <w:bookmarkStart w:id="3" w:name="_Toc214982973"/>
      <w:r w:rsidRPr="27F64FDA">
        <w:rPr>
          <w:rFonts w:ascii="Times New Roman" w:hAnsi="Times New Roman" w:cs="Times New Roman"/>
          <w:b/>
          <w:bCs/>
          <w:color w:val="000000" w:themeColor="text1"/>
          <w:sz w:val="28"/>
          <w:szCs w:val="28"/>
        </w:rPr>
        <w:t>What is Needed</w:t>
      </w:r>
      <w:bookmarkEnd w:id="3"/>
    </w:p>
    <w:p w14:paraId="4C311FBB" w14:textId="77777777" w:rsidR="00215800" w:rsidRPr="004C0253" w:rsidRDefault="00215800" w:rsidP="00215800">
      <w:pPr>
        <w:pStyle w:val="NormalWeb"/>
        <w:spacing w:before="0" w:beforeAutospacing="0" w:after="0" w:afterAutospacing="0" w:line="480" w:lineRule="auto"/>
        <w:rPr>
          <w:color w:val="000000" w:themeColor="text1"/>
        </w:rPr>
      </w:pPr>
      <w:r>
        <w:rPr>
          <w:rStyle w:val="apple-tab-span"/>
          <w:b/>
          <w:bCs/>
          <w:color w:val="000000"/>
        </w:rPr>
        <w:tab/>
      </w:r>
      <w:r w:rsidRPr="004C0253">
        <w:rPr>
          <w:color w:val="000000" w:themeColor="text1"/>
        </w:rPr>
        <w:t>Jessica’s path to stability requires a multidisciplinary, trauma-informed approach that simultaneously addresses health, safety, and independence. To sustain long-term recovery, Jessica must overcome personal barriers such as financial dependence, systemic fragmentation, and social stigma. </w:t>
      </w:r>
    </w:p>
    <w:p w14:paraId="139B3894" w14:textId="77777777"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Jessica continues to experience verbal abuse from her husband, following a long history of enduring his physical abuse as well. Although he grew ill and cannot physically harm her anymore, the emotional and verbal abuse remain detrimental to her well-being and can potentially trigger episodes of mania or depression. It is critical that Jessica implements a safety plan in case the verbal abuse continues to escalate or becomes emotionally unbearable. Although leaving an abusive relationship can cause stress and mental health to worsen, seeing a trauma-informed counselor can help individuals transition safely. Intimate partner violence can act as a strong environmental trigger for mood episodes and non-compliance with treatment. Without emotional stability and safety, Jessica’s bipolar symptoms would likely worsen. </w:t>
      </w:r>
    </w:p>
    <w:p w14:paraId="44D651F8" w14:textId="1698D653"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A psychiatric reassessment of Jessica’s medication is highly necessary as she has become nonadherent to her plan due to side effects. Potential services she could seek include free or low-cost psychiatric services, therapy, and case management. An additional option is attending psychotherapy sessions, such as Cognitive Behavioral Therapy of Social Rhythm Therapy, which are proven to reduce stress, build healthy routines, and prevent relapse. Because bipolar disorder is a chronic illness, Jessica will require consistent follow-up appointments to monitor her symptoms, side effects, and suicide risk. This condition requires serious treatment, so if Jessica becomes non-adherent again, she risks severe relapse into manic or depressive episodes. These episodes have dangerous implications, specifically Jessica’s potential return to depending on her husband. Jessica would benefit from integrated care, where her mental health, primary care, and trauma recovery services are coordinated. An example of this would be the Collaborative Care Model, which integrates mental health providers, primary care physicians, and case managers within the same treatment team to ensure continuous communication and consistent follow-up (Agency for Healthcare Research and Quality, 2016). This can reduce fragmented care and missed </w:t>
      </w:r>
      <w:r w:rsidR="678D7AF5" w:rsidRPr="004C0253">
        <w:rPr>
          <w:color w:val="000000" w:themeColor="text1"/>
        </w:rPr>
        <w:t>appointments and</w:t>
      </w:r>
      <w:r w:rsidRPr="004C0253">
        <w:rPr>
          <w:color w:val="000000" w:themeColor="text1"/>
        </w:rPr>
        <w:t xml:space="preserve"> prevent gaps in medication non-adherence. To improve accessibility, Jesicca could also utilize telehealth services such as telepsychiatry or virtual counseling. These options can be beneficial for individuals who face transportation barriers or financial hardship, allowing </w:t>
      </w:r>
      <w:r w:rsidR="7BAF1149" w:rsidRPr="004C0253">
        <w:rPr>
          <w:color w:val="000000" w:themeColor="text1"/>
        </w:rPr>
        <w:t>them</w:t>
      </w:r>
      <w:r w:rsidRPr="004C0253">
        <w:rPr>
          <w:color w:val="000000" w:themeColor="text1"/>
        </w:rPr>
        <w:t xml:space="preserve"> to maintain consistent contact with healthcare providers even when in-person visits are not possible.</w:t>
      </w:r>
    </w:p>
    <w:p w14:paraId="6D136684" w14:textId="77777777" w:rsidR="00215800" w:rsidRPr="004C0253" w:rsidRDefault="00215800" w:rsidP="00215800">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Jessica only has access to medical care through her husband’s insurance plan, making her completely financially dependent on him. Therefore, if her husband’s illness progresses or he passes away, she will lose all coverage and stability. Jessica’s dependence on her husband’s income and insurance plan creates a power imbalance in their relationship that essentially traps her in an abusive, unsafe environment. Seeking independent financial resources could help her gain autonomy and safety in her situation. There are multiple options for Jessica to apply for her own insurance plan, including the Medicaid “Special Enrollment” program or Georgia Pathways Medicaid (assuming she meets the income and activity requirements). Because she has no income, she should also apply for federal financial assistance or social benefits, such as SNAP, TANF, and SSDI if her mental illness is impacting her work ability. Finding a case manager or social worker can help Jessica navigate benefits, apply for insurance, and connect with local community resources. This is important because these programs have complex application processes and require documentation that can be overwhelming for individuals struggling with mental illness, especially those without support. </w:t>
      </w:r>
    </w:p>
    <w:p w14:paraId="1C50C47A" w14:textId="7E65EB9B"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If Jessica decides to leave her husband, she </w:t>
      </w:r>
      <w:r w:rsidR="57987C6C" w:rsidRPr="004C0253">
        <w:rPr>
          <w:color w:val="000000" w:themeColor="text1"/>
        </w:rPr>
        <w:t>will</w:t>
      </w:r>
      <w:r w:rsidRPr="004C0253">
        <w:rPr>
          <w:color w:val="000000" w:themeColor="text1"/>
        </w:rPr>
        <w:t xml:space="preserve"> need to have safe traditional housing options. There are several emergency </w:t>
      </w:r>
      <w:r w:rsidR="4366B751" w:rsidRPr="004C0253">
        <w:rPr>
          <w:color w:val="000000" w:themeColor="text1"/>
        </w:rPr>
        <w:t>shelters</w:t>
      </w:r>
      <w:r w:rsidRPr="004C0253">
        <w:rPr>
          <w:color w:val="000000" w:themeColor="text1"/>
        </w:rPr>
        <w:t xml:space="preserve"> and transitional programs in the Athens community that could support her in this adjustment. Long-term case management could help her secure affordable housing and explore part-time employment or vocational rehab opportunities once her mental health stabilizes. For women recovering from IPV and managing chronic illness simultaneously, housing stability and independence are critical protective factors. Free legal aid could also assist </w:t>
      </w:r>
      <w:r w:rsidR="7938421F" w:rsidRPr="004C0253">
        <w:rPr>
          <w:color w:val="000000" w:themeColor="text1"/>
        </w:rPr>
        <w:t>Jessica in pursuing</w:t>
      </w:r>
      <w:r w:rsidRPr="004C0253">
        <w:rPr>
          <w:color w:val="000000" w:themeColor="text1"/>
        </w:rPr>
        <w:t xml:space="preserve"> protective orders, divorce proceedings, and financial rights, including access to joint property. Legal advocacy may empower her to take steps towards independence while ensuring her safety.  Fear of retaliation and emotional attachment often prevent survivors from leaving abusive situations, particularly when financial dependence and mental illness are involved. A trauma-informed counselor can help </w:t>
      </w:r>
      <w:r w:rsidR="7111131F" w:rsidRPr="004C0253">
        <w:rPr>
          <w:color w:val="000000" w:themeColor="text1"/>
        </w:rPr>
        <w:t>Jessica</w:t>
      </w:r>
      <w:r w:rsidRPr="004C0253">
        <w:rPr>
          <w:color w:val="000000" w:themeColor="text1"/>
        </w:rPr>
        <w:t xml:space="preserve"> process these concerns and prepare emotionally prior to pursuing legal action, allowing her to move forward with greater confidence and security. </w:t>
      </w:r>
    </w:p>
    <w:p w14:paraId="2992A018" w14:textId="454DECB9" w:rsidR="00B5667B"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Jessica is very socially isolated and emotionally dependent on her </w:t>
      </w:r>
      <w:r w:rsidR="116D6137" w:rsidRPr="004C0253">
        <w:rPr>
          <w:color w:val="000000" w:themeColor="text1"/>
        </w:rPr>
        <w:t>husband and</w:t>
      </w:r>
      <w:r w:rsidRPr="004C0253">
        <w:rPr>
          <w:color w:val="000000" w:themeColor="text1"/>
        </w:rPr>
        <w:t xml:space="preserve"> would likely benefit from peer support groups to help her connect with similar individuals. She could also seek trauma-informed therapy within peer groups, which could help her process emotional abuse and the shame and stigma associated with her condition. Facing the societal stigma toward both mental illness and domestic abuse can keep Jessica feeling isolated and discouraged from sharing her experiences with others. Rebuilding a support network consisting of family, friends, and community will not only strengthen her resilience but also reduce her risk of relapse. Reconnection and social support also help reduce fear and promote long-term recovery. From a broader perspective, increasing public awareness and community education around IPV and mental illness can help reduce stigma and expand local support networks. </w:t>
      </w:r>
    </w:p>
    <w:p w14:paraId="42481B58" w14:textId="779D808B" w:rsidR="00290320" w:rsidRPr="003D36DC" w:rsidRDefault="00215800" w:rsidP="003D36DC">
      <w:pPr>
        <w:pStyle w:val="Heading1"/>
        <w:rPr>
          <w:rFonts w:ascii="Times New Roman" w:hAnsi="Times New Roman" w:cs="Times New Roman"/>
          <w:b/>
          <w:bCs/>
          <w:color w:val="000000" w:themeColor="text1"/>
          <w:sz w:val="28"/>
          <w:szCs w:val="28"/>
        </w:rPr>
      </w:pPr>
      <w:bookmarkStart w:id="4" w:name="_Toc214982974"/>
      <w:r w:rsidRPr="003D36DC">
        <w:rPr>
          <w:rFonts w:ascii="Times New Roman" w:hAnsi="Times New Roman" w:cs="Times New Roman"/>
          <w:b/>
          <w:bCs/>
          <w:color w:val="000000" w:themeColor="text1"/>
          <w:sz w:val="28"/>
          <w:szCs w:val="28"/>
        </w:rPr>
        <w:t>Resources</w:t>
      </w:r>
      <w:bookmarkEnd w:id="4"/>
    </w:p>
    <w:p w14:paraId="51F5246B" w14:textId="5C49FFB5" w:rsidR="00215800" w:rsidRPr="00CB2FFA" w:rsidRDefault="00215800" w:rsidP="27F64FDA">
      <w:pPr>
        <w:pStyle w:val="Heading2"/>
        <w:rPr>
          <w:rFonts w:ascii="Times New Roman" w:hAnsi="Times New Roman" w:cs="Times New Roman"/>
          <w:i/>
          <w:iCs/>
          <w:color w:val="000000" w:themeColor="text1"/>
          <w:sz w:val="24"/>
          <w:szCs w:val="24"/>
        </w:rPr>
      </w:pPr>
      <w:bookmarkStart w:id="5" w:name="_Toc214982975"/>
      <w:r w:rsidRPr="27F64FDA">
        <w:rPr>
          <w:rFonts w:ascii="Times New Roman" w:hAnsi="Times New Roman" w:cs="Times New Roman"/>
          <w:i/>
          <w:iCs/>
          <w:color w:val="000000" w:themeColor="text1"/>
          <w:sz w:val="24"/>
          <w:szCs w:val="24"/>
        </w:rPr>
        <w:t>Advantage Behavioral Health</w:t>
      </w:r>
      <w:bookmarkEnd w:id="5"/>
    </w:p>
    <w:p w14:paraId="44830279" w14:textId="67656596" w:rsidR="00215800" w:rsidRPr="004C0253" w:rsidRDefault="00215800" w:rsidP="66C8CD3B">
      <w:pPr>
        <w:pStyle w:val="NormalWeb"/>
        <w:spacing w:before="0" w:beforeAutospacing="0" w:after="0" w:afterAutospacing="0" w:line="480" w:lineRule="auto"/>
        <w:ind w:firstLine="720"/>
        <w:rPr>
          <w:color w:val="000000" w:themeColor="text1"/>
        </w:rPr>
      </w:pPr>
      <w:r w:rsidRPr="004C0253">
        <w:rPr>
          <w:color w:val="000000" w:themeColor="text1"/>
        </w:rPr>
        <w:t>Advantage Behavioral Health Systems is a community service board set up by the state of Georgia. Their mission statement is “to provide person-centered treatment and recovery support to individuals and families experiencing behavioral health challenges, intellectual/developmental disabilities, and addictive diseases”</w:t>
      </w:r>
      <w:r w:rsidR="00290320" w:rsidRPr="004C0253">
        <w:rPr>
          <w:color w:val="000000" w:themeColor="text1"/>
        </w:rPr>
        <w:t xml:space="preserve"> </w:t>
      </w:r>
      <w:r w:rsidRPr="004C0253">
        <w:rPr>
          <w:color w:val="000000" w:themeColor="text1"/>
        </w:rPr>
        <w:t>(Advantage). They follow the values of quality, accountability, continuous improvement, relationship, and accessibility (Advantage). They provide services to a wide variety of community members, including those with bipolar disorder.</w:t>
      </w:r>
    </w:p>
    <w:p w14:paraId="7102C17B" w14:textId="77777777"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Advantage Behavioral is located at 240 Mitchell Bridge Road, Athens, GA 30606 (Advantage). They are open Monday through Thursday from 8:00AM-7:00PM, Fridays from 8:00AM-5:00PM, and the second and fourth Saturday of the month from 8:30AM-5:00PM (Advantage). If someone needs to contact Advantage for a crisis, they can walk into any of their sites during business hours or call the crisis hotline at (706)-583-7307 (Advantage). If someone needs to contact Advantage for general or routine care, they can call 1 (855)-333-9544 to schedule an appointment or walk into any of their sites during business hours (Advantage). When someone calls to schedule an appointment, they will be given a date and time and informed that the intake appointment can range from two to three hours (Advantage).</w:t>
      </w:r>
    </w:p>
    <w:p w14:paraId="11C5909C" w14:textId="1BC231F9"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The intake appointment is the first contact for anyone seeking outpatient services. Advantage provides a list of materials for a first-time patient to bring. These include a state issued identification, their social security number, any previous clinical documentation, a list of current medications and their respective dosages, financial status information (tax return, W-2, check stubs, proof of unemployment from the state), and insurance documentation. In terms of health insurance, Advantage will serve all people in the community who are eligible for treatment (Advantage). They will not turn away someone who is experiencing a crisis (Advantage). They accept a wide list of insurances including Medicaid, Medicare Part B, Amerigroup, Wellcare, Cenpatico, United Healthcare, and Blue Cross Blue Shield (Advantage). If a patient is uninsured, they may qualify for the State Assistance Program and pay a fee depending on a sliding scale (Advantage). There are also financial counselors on site to help patients identify </w:t>
      </w:r>
      <w:r w:rsidR="00290320" w:rsidRPr="004C0253">
        <w:rPr>
          <w:color w:val="000000" w:themeColor="text1"/>
        </w:rPr>
        <w:t>all</w:t>
      </w:r>
      <w:r w:rsidRPr="004C0253">
        <w:rPr>
          <w:color w:val="000000" w:themeColor="text1"/>
        </w:rPr>
        <w:t xml:space="preserve"> financial resources available to them (Advantage).</w:t>
      </w:r>
    </w:p>
    <w:p w14:paraId="63496D23" w14:textId="77777777"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At the intake appointment, Advantage will conduct a clinical assessment which will be used to determine what services are the best fit (Advantage). If it is discovered that the patient does not meet the eligibility requirements, Advantage will do their best to provide referral information (Advantage). </w:t>
      </w:r>
    </w:p>
    <w:p w14:paraId="12ECC7F6" w14:textId="6D7FBEDF"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Advantage Behavioral Health Systems provide a wide range of services ranging from medical to employment support (Advantage). The </w:t>
      </w:r>
      <w:r w:rsidR="00290320" w:rsidRPr="004C0253">
        <w:rPr>
          <w:color w:val="000000" w:themeColor="text1"/>
        </w:rPr>
        <w:t>clinic-based</w:t>
      </w:r>
      <w:r w:rsidRPr="004C0253">
        <w:rPr>
          <w:color w:val="000000" w:themeColor="text1"/>
        </w:rPr>
        <w:t xml:space="preserve"> services are available to those with bipolar disorder (Advantage). They provide outpatient mental health services with group counseling and individual therapy sessions (Advantage). Psychiatry services are also an option to patients if necessary (Advantage). Advantage also offers crisis stabilization care, which is a basic crisis assessment that is used to determine the next steps for treatment (Advantage). There are three options for this (1) routine follow up with an outpatient provider, (2) admission to a crisis stabilization unit, or (3) admission to a temporary observation unit (Advantage). The temporary observation unit is a place where a patient can stay for up to 23 hours for observation and evaluation (Advantage). It will then be determined if the patient should (1) go back into the community, (2) be admitted to an inpatient unit, or (3) be referred to a crisis stabilization program. (Advantage). The crisis stabilization unit is a </w:t>
      </w:r>
      <w:r w:rsidR="00290320" w:rsidRPr="004C0253">
        <w:rPr>
          <w:color w:val="000000" w:themeColor="text1"/>
        </w:rPr>
        <w:t>30-bed</w:t>
      </w:r>
      <w:r w:rsidRPr="004C0253">
        <w:rPr>
          <w:color w:val="000000" w:themeColor="text1"/>
        </w:rPr>
        <w:t xml:space="preserve"> center that offers short-term stabilization stays to individuals experiencing psychiatric </w:t>
      </w:r>
      <w:r w:rsidR="30A66817" w:rsidRPr="004C0253">
        <w:rPr>
          <w:color w:val="000000" w:themeColor="text1"/>
        </w:rPr>
        <w:t>disorders,</w:t>
      </w:r>
      <w:r w:rsidRPr="004C0253">
        <w:rPr>
          <w:color w:val="000000" w:themeColor="text1"/>
        </w:rPr>
        <w:t xml:space="preserve"> which includes bipolar disorder (Advantage). </w:t>
      </w:r>
    </w:p>
    <w:p w14:paraId="20BFDF97" w14:textId="75C86C0F"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Another treatment option is health education and integrated care. This option focuses on individualized care coordination which involves developing relationships between patients and their providers (Advantage). This is a person-centered approach to care and emphasizes collaboration between all parties (Advantage). They also provide a supported employment program. </w:t>
      </w:r>
      <w:r w:rsidR="00290320" w:rsidRPr="004C0253">
        <w:rPr>
          <w:color w:val="000000" w:themeColor="text1"/>
        </w:rPr>
        <w:t>To</w:t>
      </w:r>
      <w:r w:rsidRPr="004C0253">
        <w:rPr>
          <w:color w:val="000000" w:themeColor="text1"/>
        </w:rPr>
        <w:t xml:space="preserve"> be eligible, the patient needs to </w:t>
      </w:r>
      <w:r w:rsidR="193A4BB9" w:rsidRPr="004C0253">
        <w:rPr>
          <w:color w:val="000000" w:themeColor="text1"/>
        </w:rPr>
        <w:t>receive</w:t>
      </w:r>
      <w:r w:rsidRPr="004C0253">
        <w:rPr>
          <w:color w:val="000000" w:themeColor="text1"/>
        </w:rPr>
        <w:t xml:space="preserve"> treatment from Advantage and have a desire to obtain a job (Advantage). This program assists someone in preparing to enter the workforce and maintaining a long-term job (Advantage). They have employment specialists that coordinate plans with therapists and case managers to start the job search once the patient has expressed interest (Advantage). </w:t>
      </w:r>
    </w:p>
    <w:p w14:paraId="7BF178AC" w14:textId="43A5DCE9" w:rsidR="00215800" w:rsidRPr="004C0253" w:rsidRDefault="00215800" w:rsidP="00215800">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Advantage Behavioral also offers several services under the umbrella category of </w:t>
      </w:r>
      <w:r w:rsidR="00D64F58" w:rsidRPr="004C0253">
        <w:rPr>
          <w:color w:val="000000" w:themeColor="text1"/>
        </w:rPr>
        <w:t>evidence-based</w:t>
      </w:r>
      <w:r w:rsidRPr="004C0253">
        <w:rPr>
          <w:color w:val="000000" w:themeColor="text1"/>
        </w:rPr>
        <w:t xml:space="preserve"> practices and prevention (Advantage). One of these services is cognitive behavioral therapy which is a model used to manage the way patients think and perceive themselves in the outside world (Advantage). Trauma recovery and empowerment model is group therapy designed for those who have a history of physical and sexual abuse (Advantage). The wellness recovery action plan is a person-centered model that allows a patient to make their own changes to their lives to make it how they want to live (Advantage). The adult needs and strengths assessment is an evaluation and assessment tool used to determine the severity of symptoms in a patient and the level of dysfunction experienced (Advantage). The motivational interviewing is a program targeted at strengthening a patient’s motivation for change (Advantage). </w:t>
      </w:r>
    </w:p>
    <w:p w14:paraId="559CF108" w14:textId="0543343D" w:rsidR="00215800" w:rsidRPr="004C0253" w:rsidRDefault="00215800" w:rsidP="00034DC5">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As well as clinical services, Advantage offers a medication assistance program (MAP). This is a program of a pharmaceutical company used by those who need help accessing mental health medications who do not have prescription drug coverage through their health insurance (Advantage). A set of specific financial guidelines must be followed </w:t>
      </w:r>
      <w:r w:rsidR="00D64F58" w:rsidRPr="004C0253">
        <w:rPr>
          <w:color w:val="000000" w:themeColor="text1"/>
        </w:rPr>
        <w:t>to</w:t>
      </w:r>
      <w:r w:rsidRPr="004C0253">
        <w:rPr>
          <w:color w:val="000000" w:themeColor="text1"/>
        </w:rPr>
        <w:t xml:space="preserve"> qualify (Advantage). The pharmaceutical companies predetermine what medications can be provided to patients through MAP (Advantage). MAP will help the patient determine which program the individual is best suited for and from here an application will be provided (Advantage). If the pharmaceutical company approves the application, the medication is shipped to </w:t>
      </w:r>
      <w:r w:rsidR="00D64F58" w:rsidRPr="004C0253">
        <w:rPr>
          <w:color w:val="000000" w:themeColor="text1"/>
        </w:rPr>
        <w:t>Advantage,</w:t>
      </w:r>
      <w:r w:rsidRPr="004C0253">
        <w:rPr>
          <w:color w:val="000000" w:themeColor="text1"/>
        </w:rPr>
        <w:t xml:space="preserve"> and the patient can pick it up at their next appointment (Advantage). </w:t>
      </w:r>
    </w:p>
    <w:p w14:paraId="6B5E69B2" w14:textId="1FFD135F" w:rsidR="00F18318" w:rsidRDefault="00F18318" w:rsidP="00F18318">
      <w:pPr>
        <w:pStyle w:val="NormalWeb"/>
        <w:spacing w:before="0" w:beforeAutospacing="0" w:after="0" w:afterAutospacing="0" w:line="480" w:lineRule="auto"/>
        <w:rPr>
          <w:color w:val="9900FF"/>
        </w:rPr>
      </w:pPr>
    </w:p>
    <w:p w14:paraId="00D7A271" w14:textId="77777777" w:rsidR="00215800" w:rsidRPr="00034DC5" w:rsidRDefault="00215800" w:rsidP="27F64FDA">
      <w:pPr>
        <w:pStyle w:val="Heading2"/>
        <w:rPr>
          <w:rFonts w:ascii="Times New Roman" w:hAnsi="Times New Roman" w:cs="Times New Roman"/>
          <w:i/>
          <w:iCs/>
          <w:color w:val="000000" w:themeColor="text1"/>
          <w:sz w:val="24"/>
          <w:szCs w:val="24"/>
        </w:rPr>
      </w:pPr>
      <w:bookmarkStart w:id="6" w:name="_Toc214982976"/>
      <w:r w:rsidRPr="27F64FDA">
        <w:rPr>
          <w:rFonts w:ascii="Times New Roman" w:hAnsi="Times New Roman" w:cs="Times New Roman"/>
          <w:i/>
          <w:iCs/>
          <w:color w:val="000000" w:themeColor="text1"/>
          <w:sz w:val="24"/>
          <w:szCs w:val="24"/>
        </w:rPr>
        <w:t>Project Safe</w:t>
      </w:r>
      <w:bookmarkEnd w:id="6"/>
    </w:p>
    <w:p w14:paraId="6B7F770E" w14:textId="71B0ABE8" w:rsidR="00215800" w:rsidRDefault="00215800" w:rsidP="00215800">
      <w:pPr>
        <w:pStyle w:val="NormalWeb"/>
        <w:spacing w:before="0" w:beforeAutospacing="0" w:after="0" w:afterAutospacing="0" w:line="480" w:lineRule="auto"/>
        <w:ind w:firstLine="720"/>
      </w:pPr>
      <w:r w:rsidRPr="00F18318">
        <w:rPr>
          <w:color w:val="000000" w:themeColor="text1"/>
        </w:rPr>
        <w:t>Project Safe is a nonprofit organization located in Athens, Georgia, that provides free and confidential services to individuals experiencing domestic or intimate partner violence. Their mission is “to end domestic violence through crisis intervention, ongoing supportive services, systems change advocacy, and prevention and education” (Project Safe). The agency operates under the assumption that all individuals are deserving of living in safety and freedom from violence, and that their services are designed to empower survivors from early intervention through long-term recovery and self-sufficiency. Project Safe offers services to residents of Athens-Clarke County and the surrounding community, regardless of sex, income, or citizenship, and offers bilingual services to make access available to all members of the community (Project Safe). </w:t>
      </w:r>
    </w:p>
    <w:p w14:paraId="14074229" w14:textId="0966EF31" w:rsidR="00215800" w:rsidRDefault="00215800" w:rsidP="00215800">
      <w:pPr>
        <w:pStyle w:val="NormalWeb"/>
        <w:spacing w:before="0" w:beforeAutospacing="0" w:after="0" w:afterAutospacing="0" w:line="480" w:lineRule="auto"/>
        <w:ind w:firstLine="720"/>
      </w:pPr>
      <w:r>
        <w:rPr>
          <w:color w:val="000000"/>
        </w:rPr>
        <w:t xml:space="preserve">The main office is located at 995 Hawthorne Avenue, Suite E, Athens, GA 30606. Administrative hours are Monday through Friday, 9:00 AM to 5:00 PM by appointment, but their 24-hour crisis hotline is always open for immediate assistance (Project Safe). Those in crisis can call the hotline at 706-543-3331 or text 706-765-8019 to speak with an advocate. </w:t>
      </w:r>
      <w:r w:rsidR="006F3D5E">
        <w:rPr>
          <w:color w:val="000000"/>
        </w:rPr>
        <w:t xml:space="preserve">Their primary phone number is (706) </w:t>
      </w:r>
      <w:r w:rsidR="003C5BEB">
        <w:rPr>
          <w:color w:val="000000"/>
        </w:rPr>
        <w:t>425-</w:t>
      </w:r>
      <w:r w:rsidR="00E807AB">
        <w:rPr>
          <w:color w:val="000000"/>
        </w:rPr>
        <w:t>8863</w:t>
      </w:r>
      <w:r w:rsidR="0061667C">
        <w:rPr>
          <w:color w:val="000000"/>
        </w:rPr>
        <w:t xml:space="preserve"> (Project Safe). </w:t>
      </w:r>
      <w:r>
        <w:rPr>
          <w:color w:val="000000"/>
        </w:rPr>
        <w:t>The agency encourages people in perilous situations to reach out to them, even if they are unsure if they will be leaving, as advocates can help them develop tailored safety plans and discuss their alternatives with confidence. For the majority of people in crisis, Project Safe is the first and most critical point of entry in acquiring safety and emotional stability. </w:t>
      </w:r>
    </w:p>
    <w:p w14:paraId="7581D776" w14:textId="77777777" w:rsidR="00215800" w:rsidRDefault="00215800" w:rsidP="00215800">
      <w:pPr>
        <w:pStyle w:val="NormalWeb"/>
        <w:spacing w:before="0" w:beforeAutospacing="0" w:after="0" w:afterAutospacing="0" w:line="480" w:lineRule="auto"/>
        <w:ind w:firstLine="720"/>
      </w:pPr>
      <w:r>
        <w:rPr>
          <w:color w:val="000000"/>
        </w:rPr>
        <w:t>Project Safe's programs address a range of needs, including crisis intervention, shelter, legal advocacy, counseling, and community outreach. The crisis intervention and shelter program provides immediate protection to the victims of abuse escaping from the abuse. The organization operates an anonymous emergency shelter where survivors stay temporarily while striving towards stability (Project Safe). The shelter is trauma-informed and family-oriented and welcomes children to stay with their parents. For people who are not yet ready to leave their homes but still need safety, Project Safe offers safety planning, which is an individualized plan that outlines how to stay safe during violent outbursts, how to prepare to evacuate, and where to go for help (Project Safe). Advocates can also arrange for safe transportation to the shelter or to another safe place. For survivors requiring long-term housing support following emergency shelter, Project Safe offers transitional housing programs. These provide longer-term care, typically several months, and are linked with case management services that help the residents secure jobs, receive benefits, and acquire permanent housing (Project Safe). Transitional housing gives survivors time and structure to restore their lives and end dependence upon abusive partners. </w:t>
      </w:r>
    </w:p>
    <w:p w14:paraId="1133CF65" w14:textId="77777777" w:rsidR="00215800" w:rsidRDefault="00215800" w:rsidP="00215800">
      <w:pPr>
        <w:pStyle w:val="NormalWeb"/>
        <w:spacing w:before="0" w:beforeAutospacing="0" w:after="0" w:afterAutospacing="0" w:line="480" w:lineRule="auto"/>
        <w:ind w:firstLine="720"/>
      </w:pPr>
      <w:r>
        <w:rPr>
          <w:color w:val="000000"/>
        </w:rPr>
        <w:t>The second major service delivered by Project Safe is legal advocacy. Survivors find it challenging to navigate the justice system and, hence, receive free assistance to complete Temporary Protective Orders (TPOs) and other court forms (Project Safe). Advocates also accompany survivors to court hearings, explain the procedures clearly and in an understandable way, and help them grasp their rights. Project Safe also partners with organizations such as Georgia Legal Services and the Athens Justice Project to refer clients to attorneys as needed (Project Safe). Restraining orders may include restrictions that prevent the abuser from contacting or getting close to the survivor, orders for custody, and provisions for financial assistance. The advocacy branch continues to work in close coordination with the Clarke County Superior Court, Sheriff's Department, and local police in enforcing court orders accordingly.</w:t>
      </w:r>
    </w:p>
    <w:p w14:paraId="0BA7FD2F" w14:textId="0B25BE99" w:rsidR="00215800" w:rsidRDefault="00215800" w:rsidP="66C8CD3B">
      <w:pPr>
        <w:pStyle w:val="NormalWeb"/>
        <w:spacing w:before="0" w:beforeAutospacing="0" w:after="0" w:afterAutospacing="0" w:line="480" w:lineRule="auto"/>
        <w:ind w:firstLine="720"/>
      </w:pPr>
      <w:r w:rsidRPr="66C8CD3B">
        <w:rPr>
          <w:color w:val="000000" w:themeColor="text1"/>
        </w:rPr>
        <w:t xml:space="preserve">Counseling and emotional support constitute the most vital aspects of the work done by Project Safe. The agency offers individual and group counseling conducted by trauma-informed professionals trained in recovering from domestic violence. Survivors are invited to attend support groups that meet weekly to address rebuilding self-worth, stress management, and coping with the emotional effects of abuse. Counseling is provided face-to-face and online to reach those with transportation or scheduling problems (Project Safe). They also provide therapy and support groups for children who have witnessed or been </w:t>
      </w:r>
      <w:r w:rsidR="4A4E53F1" w:rsidRPr="66C8CD3B">
        <w:rPr>
          <w:color w:val="000000" w:themeColor="text1"/>
        </w:rPr>
        <w:t>victims</w:t>
      </w:r>
      <w:r w:rsidRPr="66C8CD3B">
        <w:rPr>
          <w:color w:val="000000" w:themeColor="text1"/>
        </w:rPr>
        <w:t xml:space="preserve"> of family violence. These services help individuals recover from trauma, acquire coping skills, and regain a sense of mastery in their lives. </w:t>
      </w:r>
    </w:p>
    <w:p w14:paraId="46A89CFC" w14:textId="31760F5F" w:rsidR="00215800" w:rsidRDefault="00215800" w:rsidP="66C8CD3B">
      <w:pPr>
        <w:pStyle w:val="NormalWeb"/>
        <w:spacing w:before="0" w:beforeAutospacing="0" w:after="0" w:afterAutospacing="0" w:line="480" w:lineRule="auto"/>
        <w:ind w:firstLine="720"/>
      </w:pPr>
      <w:r w:rsidRPr="66C8CD3B">
        <w:rPr>
          <w:color w:val="000000" w:themeColor="text1"/>
        </w:rPr>
        <w:t xml:space="preserve">Apart from direct services, Project Safe engages in community-based prevention and education to reduce domestic violence in the community. The organization offers education programs in schools, workplaces, and organizations to </w:t>
      </w:r>
      <w:r w:rsidR="35B197B5" w:rsidRPr="66C8CD3B">
        <w:rPr>
          <w:color w:val="000000" w:themeColor="text1"/>
        </w:rPr>
        <w:t>educate</w:t>
      </w:r>
      <w:r w:rsidRPr="66C8CD3B">
        <w:rPr>
          <w:color w:val="000000" w:themeColor="text1"/>
        </w:rPr>
        <w:t xml:space="preserve"> </w:t>
      </w:r>
      <w:r w:rsidR="273F4FF9" w:rsidRPr="66C8CD3B">
        <w:rPr>
          <w:color w:val="000000" w:themeColor="text1"/>
        </w:rPr>
        <w:t xml:space="preserve">about </w:t>
      </w:r>
      <w:r w:rsidRPr="66C8CD3B">
        <w:rPr>
          <w:color w:val="000000" w:themeColor="text1"/>
        </w:rPr>
        <w:t>healthy relationships and early abuse warning signs (Project Safe). They also train volunteers, students, and professionals on how to support survivors and cultivate a culture of responsibility. In doing so, Project Safe not only responds to emergencies but also works toward long-term prevention and community transformation in Athens-Clarke County. </w:t>
      </w:r>
    </w:p>
    <w:p w14:paraId="4D9B5021" w14:textId="77777777" w:rsidR="00215800" w:rsidRDefault="00215800" w:rsidP="00215800">
      <w:pPr>
        <w:pStyle w:val="NormalWeb"/>
        <w:spacing w:before="0" w:beforeAutospacing="0" w:after="0" w:afterAutospacing="0" w:line="480" w:lineRule="auto"/>
        <w:ind w:firstLine="720"/>
      </w:pPr>
      <w:r>
        <w:rPr>
          <w:color w:val="000000"/>
        </w:rPr>
        <w:t>Accessibility is one of Project Safe's strongest strengths. All services are completely free and confidential, and therefore, survivors don't have to worry about price or publicity when they seek services. There are no income, immigration status, or residency requirements for the application (Project Safe). Men, women, and people of all identities are invited to participate, and interpreters are used for those who do not speak English (Project Safe). Care coordination across the mental health, housing, and social service systems is enabled by the agency's relationship with other community programs, including Advantage Behavioral Health Systems. For example, a survivor who enters the shelter may also receive a case management or psychiatric referral in response to ongoing mental health needs.</w:t>
      </w:r>
    </w:p>
    <w:p w14:paraId="5A5DE0FF" w14:textId="26F3B100" w:rsidR="00215800" w:rsidRDefault="00215800" w:rsidP="66C8CD3B">
      <w:pPr>
        <w:pStyle w:val="NormalWeb"/>
        <w:spacing w:before="0" w:beforeAutospacing="0" w:after="0" w:afterAutospacing="0" w:line="480" w:lineRule="auto"/>
        <w:ind w:firstLine="720"/>
      </w:pPr>
      <w:r w:rsidRPr="66C8CD3B">
        <w:rPr>
          <w:color w:val="000000" w:themeColor="text1"/>
        </w:rPr>
        <w:t xml:space="preserve">Survivors are able to phone the 24-hour hotline or </w:t>
      </w:r>
      <w:r w:rsidR="08893993" w:rsidRPr="66C8CD3B">
        <w:rPr>
          <w:color w:val="000000" w:themeColor="text1"/>
        </w:rPr>
        <w:t>text line</w:t>
      </w:r>
      <w:r w:rsidRPr="66C8CD3B">
        <w:rPr>
          <w:color w:val="000000" w:themeColor="text1"/>
        </w:rPr>
        <w:t xml:space="preserve"> to speak directly with an advocate in order to access services. During the initial call, the advocate will discuss immediate safety needs and help decide if shelter, legal protection, or community-based safety planning is the best response (Project Safe). In the event of an emergency shelter, staff offer confidential transportation to the center. Upon arrival, survivors meet with a case manager who discusses introduced programs, rights, and helps create a personalized plan. Individuals seeking legal protection can be assisted with TPO form completion and accompanied by advocate representatives to court hearings. Shelter stays usually last from 30 to 90 days, depending on circumstances, and staff, before discharge, connect survivors with ongoing services like housing, employment, or counseling (Project Safe).</w:t>
      </w:r>
    </w:p>
    <w:p w14:paraId="74F834C8" w14:textId="703C74DD" w:rsidR="00215800" w:rsidRPr="00471898" w:rsidRDefault="00215800" w:rsidP="66C8CD3B">
      <w:pPr>
        <w:pStyle w:val="NormalWeb"/>
        <w:spacing w:before="0" w:beforeAutospacing="0" w:after="0" w:afterAutospacing="0" w:line="480" w:lineRule="auto"/>
        <w:ind w:firstLine="720"/>
      </w:pPr>
      <w:r w:rsidRPr="66C8CD3B">
        <w:rPr>
          <w:color w:val="000000" w:themeColor="text1"/>
        </w:rPr>
        <w:t>Project Safe's work is particularly critical for those with compounded issues like mental illness, economic reliance, or isolation. Domestic violence compounds mental illnesses and disrupts treatment adherence, so integrated, trauma-informed services become a priority. By offering safety planning, counseling, and legal services under one roof, Project Safe helps survivors break cycles of abuse while facing the psychological and logistical obstacles that keep them in their situations. Project Safe is among Athens' most essential sources of support for those who are victims of intimate partner violence. It is also a crisis response center and a portal to long-term recovery through referrals to local partners, including housing and behavioral health agencies. The agency's survivor-centered, holistic approach ensures that no one is ever turned away, regardless of income or background, and that everyone has a chance to rebuild a safe, stable, and self-sufficient life. </w:t>
      </w:r>
    </w:p>
    <w:p w14:paraId="710DC4BB" w14:textId="77777777" w:rsidR="00215800" w:rsidRPr="00471898" w:rsidRDefault="00215800" w:rsidP="27F64FDA">
      <w:pPr>
        <w:pStyle w:val="Heading2"/>
        <w:rPr>
          <w:rFonts w:ascii="Times New Roman" w:hAnsi="Times New Roman" w:cs="Times New Roman"/>
          <w:i/>
          <w:iCs/>
          <w:color w:val="000000" w:themeColor="text1"/>
          <w:sz w:val="24"/>
          <w:szCs w:val="24"/>
        </w:rPr>
      </w:pPr>
      <w:bookmarkStart w:id="7" w:name="_Toc214982977"/>
      <w:r w:rsidRPr="27F64FDA">
        <w:rPr>
          <w:rFonts w:ascii="Times New Roman" w:hAnsi="Times New Roman" w:cs="Times New Roman"/>
          <w:i/>
          <w:iCs/>
          <w:color w:val="000000" w:themeColor="text1"/>
          <w:sz w:val="24"/>
          <w:szCs w:val="24"/>
        </w:rPr>
        <w:t>Athens-Clarke County Temporary Protective Order (TPO) Process</w:t>
      </w:r>
      <w:bookmarkEnd w:id="7"/>
      <w:r w:rsidRPr="27F64FDA">
        <w:rPr>
          <w:rFonts w:ascii="Times New Roman" w:hAnsi="Times New Roman" w:cs="Times New Roman"/>
          <w:i/>
          <w:iCs/>
          <w:color w:val="000000" w:themeColor="text1"/>
          <w:sz w:val="24"/>
          <w:szCs w:val="24"/>
        </w:rPr>
        <w:t> </w:t>
      </w:r>
    </w:p>
    <w:p w14:paraId="38411F50" w14:textId="77777777" w:rsidR="00215800" w:rsidRDefault="00215800" w:rsidP="00215800">
      <w:pPr>
        <w:pStyle w:val="NormalWeb"/>
        <w:spacing w:before="0" w:beforeAutospacing="0" w:after="0" w:afterAutospacing="0" w:line="480" w:lineRule="auto"/>
      </w:pPr>
      <w:r>
        <w:rPr>
          <w:rStyle w:val="apple-tab-span"/>
          <w:color w:val="000000"/>
        </w:rPr>
        <w:tab/>
      </w:r>
      <w:r>
        <w:rPr>
          <w:color w:val="000000"/>
        </w:rPr>
        <w:t>One of the examples of a free legal service that assists a victim of domestic or family violence in gaining immediate protection from the abuser is the Athens-Clarke County Temporary Protective Order (TPO) process. A TPO, which is an order of the civil court, cannot allow an abuser to make contact, visit, or come near the survivor's home, workplace, or other specified areas (ACC). Other orders, such as child custody or support, may also be issued, as well as the removal of the abuser from a mutual household (ACC). This order is a highly significant safety protection for those who want to halt ongoing abuse without sacrificing their independence and security.</w:t>
      </w:r>
    </w:p>
    <w:p w14:paraId="355B10C3" w14:textId="77777777" w:rsidR="00215800" w:rsidRDefault="00215800" w:rsidP="00215800">
      <w:pPr>
        <w:pStyle w:val="NormalWeb"/>
        <w:spacing w:before="0" w:beforeAutospacing="0" w:after="0" w:afterAutospacing="0" w:line="480" w:lineRule="auto"/>
        <w:ind w:firstLine="720"/>
      </w:pPr>
      <w:r>
        <w:rPr>
          <w:color w:val="000000"/>
        </w:rPr>
        <w:t>The Athens-Clarke County Superior Court Clerk's Office, 325 E. Washington Street, Suite 450, Athens, GA 30601, is where a survivor may apply for a TPO. Monday through Friday, the courthouse is open from 8:00 AM to 5:00 PM. Interpreters are available on request. Parking is located behind the courthouse, and it is accessible by public transportation using Athens Transit routes. Survivors can file with ease, and if necessary, direct help is available from trained Project Safe advocates to assist with paperwork, clarify the process, and offer emotional support at court hearings (ACC). </w:t>
      </w:r>
    </w:p>
    <w:p w14:paraId="4545F796" w14:textId="025341EF" w:rsidR="00215800" w:rsidRDefault="00215800" w:rsidP="006E7D69">
      <w:pPr>
        <w:pStyle w:val="NormalWeb"/>
        <w:spacing w:before="0" w:beforeAutospacing="0" w:after="0" w:afterAutospacing="0" w:line="480" w:lineRule="auto"/>
        <w:ind w:firstLine="720"/>
      </w:pPr>
      <w:r w:rsidRPr="00F18318">
        <w:rPr>
          <w:color w:val="000000" w:themeColor="text1"/>
        </w:rPr>
        <w:t>The first step in the TPO filing process is to request a Family Violence Petition from the clerk's office. The petition is heard on the day the petition is submitted by a judge, and if there is enough evidence, the judge may issue an immediate temporary order of emergency protection (ACC). The order becomes legally enforceable after being served on the abuser by the Clarke County Sheriff's Office. A court hearing is scheduled to be conducted within 30 days to decide whether, under the circumstances, the order should be made permanent or extended up to a maximum of 12 months (ACC). Along with support, survivors are urged to accompany the hearing with an attorney or advocate. A TPO is issued to Georgia citizens who have experienced domestic or family violence in the state. Eligible couples are spouses, ex-spouses, boyfriends, girlfriends, and family members residing in the household. Proof of recent or ongoing verbal, physical, sexual, or emotional abuse, harassment, or intimidation on the part of the victim must be established. Notably, the protection order is free from court charges, such that legal protection is not withheld because of an inability to afford it (ACC). All else being equal, Athens-Clarke County's TPO process allows victims of domestic violence to have a confidential, accessible legal pathway to expedited safety and the beginning of safe separation from their abuser. To help survivors progress to key steps toward long-term safety and healing, the local court system collaborates with agencies such as Project Safe to make sure they have both legal and emotional support throughout the process (ACC). </w:t>
      </w:r>
    </w:p>
    <w:p w14:paraId="0FDF99D5" w14:textId="568BA35C" w:rsidR="00F18318" w:rsidRDefault="00F18318" w:rsidP="00F18318">
      <w:pPr>
        <w:pStyle w:val="NormalWeb"/>
        <w:spacing w:before="0" w:beforeAutospacing="0" w:after="0" w:afterAutospacing="0" w:line="480" w:lineRule="auto"/>
        <w:ind w:firstLine="720"/>
        <w:rPr>
          <w:color w:val="000000" w:themeColor="text1"/>
        </w:rPr>
      </w:pPr>
    </w:p>
    <w:p w14:paraId="2837FC61" w14:textId="77777777" w:rsidR="00215800" w:rsidRPr="00471898" w:rsidRDefault="00215800" w:rsidP="27F64FDA">
      <w:pPr>
        <w:pStyle w:val="Heading2"/>
        <w:rPr>
          <w:rFonts w:ascii="Times New Roman" w:hAnsi="Times New Roman" w:cs="Times New Roman"/>
          <w:i/>
          <w:iCs/>
          <w:color w:val="000000" w:themeColor="text1"/>
          <w:sz w:val="24"/>
          <w:szCs w:val="24"/>
        </w:rPr>
      </w:pPr>
      <w:bookmarkStart w:id="8" w:name="_Toc214982978"/>
      <w:r w:rsidRPr="27F64FDA">
        <w:rPr>
          <w:rFonts w:ascii="Times New Roman" w:hAnsi="Times New Roman" w:cs="Times New Roman"/>
          <w:i/>
          <w:iCs/>
          <w:color w:val="000000" w:themeColor="text1"/>
          <w:sz w:val="24"/>
          <w:szCs w:val="24"/>
        </w:rPr>
        <w:t>Athens Neighborhood Health Center</w:t>
      </w:r>
      <w:bookmarkEnd w:id="8"/>
      <w:r w:rsidRPr="27F64FDA">
        <w:rPr>
          <w:rFonts w:ascii="Times New Roman" w:hAnsi="Times New Roman" w:cs="Times New Roman"/>
          <w:i/>
          <w:iCs/>
          <w:color w:val="000000" w:themeColor="text1"/>
          <w:sz w:val="24"/>
          <w:szCs w:val="24"/>
        </w:rPr>
        <w:t> </w:t>
      </w:r>
    </w:p>
    <w:p w14:paraId="06D9CDBD" w14:textId="263E14A9" w:rsidR="00215800" w:rsidRDefault="00215800" w:rsidP="66C8CD3B">
      <w:pPr>
        <w:pStyle w:val="NormalWeb"/>
        <w:spacing w:before="0" w:beforeAutospacing="0" w:after="0" w:afterAutospacing="0" w:line="480" w:lineRule="auto"/>
        <w:ind w:firstLine="720"/>
      </w:pPr>
      <w:r w:rsidRPr="66C8CD3B">
        <w:rPr>
          <w:color w:val="000000" w:themeColor="text1"/>
        </w:rPr>
        <w:t xml:space="preserve">The Athens Neighborhood Health Center is a nonprofit federally qualified health center. It provides quality healthcare to Athens-Clarke County and the surrounding communities at affordable prices. The Athens Neighborhood Health Center has a mission to “ensure that every individual, regardless of income or insurance status, has access to quality healthcare” (Athens Neighborhood Health Center). The Athens Neighborhood Health Center operates with the philosophy of equity and community well-being in mind because it </w:t>
      </w:r>
      <w:r w:rsidR="7815C02D" w:rsidRPr="00F18318">
        <w:rPr>
          <w:color w:val="000000" w:themeColor="text1"/>
        </w:rPr>
        <w:t>understands</w:t>
      </w:r>
      <w:r w:rsidRPr="66C8CD3B">
        <w:rPr>
          <w:color w:val="000000" w:themeColor="text1"/>
        </w:rPr>
        <w:t xml:space="preserve"> illness, poverty, or the absence of insurance should not be barriers to good healthcare for any person in need of it. The Athens Neighborhood Health Center receives funds to offer </w:t>
      </w:r>
      <w:r w:rsidR="6B223B5B" w:rsidRPr="66C8CD3B">
        <w:rPr>
          <w:color w:val="000000" w:themeColor="text1"/>
        </w:rPr>
        <w:t>patients</w:t>
      </w:r>
      <w:r w:rsidRPr="66C8CD3B">
        <w:rPr>
          <w:color w:val="000000" w:themeColor="text1"/>
        </w:rPr>
        <w:t xml:space="preserve"> a discounted fee scale determined by income and family size, thereby ensuring that patients with no insurance are not left out (Athens Neighborhood Health Center).</w:t>
      </w:r>
    </w:p>
    <w:p w14:paraId="6CB67D7C" w14:textId="5E9AADE7" w:rsidR="00215800" w:rsidRDefault="00215800" w:rsidP="66C8CD3B">
      <w:pPr>
        <w:pStyle w:val="NormalWeb"/>
        <w:spacing w:before="0" w:beforeAutospacing="0" w:after="0" w:afterAutospacing="0" w:line="480" w:lineRule="auto"/>
        <w:ind w:firstLine="720"/>
      </w:pPr>
      <w:r w:rsidRPr="66C8CD3B">
        <w:rPr>
          <w:color w:val="000000" w:themeColor="text1"/>
        </w:rPr>
        <w:t xml:space="preserve">There are various locations in Athens where patients can access healthcare from ANHC, with one of the prominent locations being 402 McKinley Drive, Athens, GA 30601 (Athens Neighborhood Health Center). The healthcare centers are open from Monday to Friday between 8:00 AM and 5:00 PM, with walk-in appointments offered to cater to patients with acute problems. Patients can opt to book appointments via phone number 706-543-1145 or by accessing the </w:t>
      </w:r>
      <w:r w:rsidR="2A48B95B" w:rsidRPr="66C8CD3B">
        <w:rPr>
          <w:color w:val="000000" w:themeColor="text1"/>
        </w:rPr>
        <w:t>organization's</w:t>
      </w:r>
      <w:r w:rsidR="1C13C2B5" w:rsidRPr="66C8CD3B">
        <w:rPr>
          <w:color w:val="000000" w:themeColor="text1"/>
        </w:rPr>
        <w:t xml:space="preserve"> site</w:t>
      </w:r>
      <w:r w:rsidRPr="66C8CD3B">
        <w:rPr>
          <w:color w:val="000000" w:themeColor="text1"/>
        </w:rPr>
        <w:t>. The healthcare centers offer free parking and access by Athens Transit, ensuring that patients with vehicles can conveniently access healthcare services. Additionally, there are translation services to facilitate healthcare provision to patients with less understanding of the predominant language (Athens Neighborhood Health Center).</w:t>
      </w:r>
    </w:p>
    <w:p w14:paraId="2FF8F63C" w14:textId="60D8E3DB" w:rsidR="00215800" w:rsidRDefault="00215800" w:rsidP="66C8CD3B">
      <w:pPr>
        <w:pStyle w:val="NormalWeb"/>
        <w:spacing w:before="0" w:beforeAutospacing="0" w:after="0" w:afterAutospacing="0" w:line="480" w:lineRule="auto"/>
        <w:ind w:firstLine="720"/>
      </w:pPr>
      <w:r w:rsidRPr="66C8CD3B">
        <w:rPr>
          <w:color w:val="000000" w:themeColor="text1"/>
        </w:rPr>
        <w:t xml:space="preserve">The Athens Neighborhood Health Center has numerous services that cater to the physical and behavioral aspects of patients’ well-being. The primary healthcare aspects include physical examinations, women’s healthcare exams, management of chronic diseases, laboratory work, and management of prescription refills (Athens Neighborhood Health Center). The Athens Neighborhood Health Center has integrated behavioral healthcare services, which </w:t>
      </w:r>
      <w:r w:rsidR="328BFE9E" w:rsidRPr="66C8CD3B">
        <w:rPr>
          <w:color w:val="000000" w:themeColor="text1"/>
        </w:rPr>
        <w:t>involve</w:t>
      </w:r>
      <w:r w:rsidRPr="66C8CD3B">
        <w:rPr>
          <w:color w:val="000000" w:themeColor="text1"/>
        </w:rPr>
        <w:t xml:space="preserve"> </w:t>
      </w:r>
      <w:r w:rsidR="18B53A96" w:rsidRPr="66C8CD3B">
        <w:rPr>
          <w:color w:val="000000" w:themeColor="text1"/>
        </w:rPr>
        <w:t>mental</w:t>
      </w:r>
      <w:r w:rsidRPr="66C8CD3B">
        <w:rPr>
          <w:color w:val="000000" w:themeColor="text1"/>
        </w:rPr>
        <w:t xml:space="preserve"> healthcare screening and counseling in addition to healthcare services. The licensed clinical social workers and behavioral healthcare counselors offer therapy in cases of depression, anxiety, trauma, and bipolar disorder, while the psychiatrists specifically deal with prescribing and monitoring drug efficacy in patients (Athens Neighborhood Health Center).</w:t>
      </w:r>
    </w:p>
    <w:p w14:paraId="7D0B1CC2" w14:textId="77777777" w:rsidR="00215800" w:rsidRDefault="00215800" w:rsidP="00215800">
      <w:pPr>
        <w:pStyle w:val="NormalWeb"/>
        <w:spacing w:before="0" w:beforeAutospacing="0" w:after="0" w:afterAutospacing="0" w:line="480" w:lineRule="auto"/>
      </w:pPr>
      <w:r>
        <w:rPr>
          <w:color w:val="000000"/>
        </w:rPr>
        <w:t> </w:t>
      </w:r>
      <w:r>
        <w:rPr>
          <w:rStyle w:val="apple-tab-span"/>
          <w:color w:val="000000"/>
        </w:rPr>
        <w:tab/>
      </w:r>
      <w:r>
        <w:rPr>
          <w:color w:val="000000"/>
        </w:rPr>
        <w:t>For patients who lack insurance coverage or have inadequate insurance coverage, the ANHC has designed the sliding fee scale program to make it affordable for them to seek services. Patients can qualify for reduced fees after presenting proof of income and the number of members in the family, with the fee being only $25 to $35 for patients who are uninsured (Athens Neighborhood Health Center). The ANHC has partnered with most insurance companies, including Medicaid, Medicare, PeachCare for Kids, and others, such as Blue Cross Blue Shield and United Healthcare, ensuring that patients have access to quality services without spending a lot of money on healthcare (Athens Neighborhood Health Center).</w:t>
      </w:r>
    </w:p>
    <w:p w14:paraId="2E5B2AD3" w14:textId="77777777" w:rsidR="00215800" w:rsidRDefault="00215800" w:rsidP="00215800">
      <w:pPr>
        <w:pStyle w:val="NormalWeb"/>
        <w:spacing w:before="0" w:beforeAutospacing="0" w:after="0" w:afterAutospacing="0" w:line="480" w:lineRule="auto"/>
        <w:ind w:firstLine="720"/>
      </w:pPr>
      <w:r>
        <w:rPr>
          <w:color w:val="000000"/>
        </w:rPr>
        <w:t>Apart from providing healthcare-related services and behavioral healthcare, ANHC provides case management assistance to patients. The primary aim of case managers working with patients is to help them access other resources in the community that may include dental services, nutrition assistance, and specialty healthcare providers. Case managers can also assist patients in obtaining benefits to access any form of social assistance they require, for instance, SNAP or housing assistance (Athens Neighborhood Health Center).</w:t>
      </w:r>
    </w:p>
    <w:p w14:paraId="7A86AD4D" w14:textId="3C20E418" w:rsidR="00215800" w:rsidRDefault="00215800" w:rsidP="66C8CD3B">
      <w:pPr>
        <w:pStyle w:val="NormalWeb"/>
        <w:spacing w:before="0" w:beforeAutospacing="0" w:after="0" w:afterAutospacing="0" w:line="480" w:lineRule="auto"/>
        <w:ind w:firstLine="720"/>
      </w:pPr>
      <w:r w:rsidRPr="66C8CD3B">
        <w:rPr>
          <w:color w:val="000000" w:themeColor="text1"/>
        </w:rPr>
        <w:t xml:space="preserve">The behavioral health needs of patients can be met very well by the behavioral health offerings of ANHC, especially if the patient has any kind of mood disorder or any trauma-related concerns. The patient can benefit from individual therapy, Psychiatric Medication Management, and Behavioral Health Screenings done during primary care visits (Athens Neighborhood Health Center). What it does help, though, is that the patient's needs related to emotional well-being would not be something that needs to be addressed on the side or secondary to something </w:t>
      </w:r>
      <w:r w:rsidR="3DCB8CDD" w:rsidRPr="66C8CD3B">
        <w:rPr>
          <w:color w:val="000000" w:themeColor="text1"/>
        </w:rPr>
        <w:t>else but</w:t>
      </w:r>
      <w:r w:rsidRPr="66C8CD3B">
        <w:rPr>
          <w:color w:val="000000" w:themeColor="text1"/>
        </w:rPr>
        <w:t xml:space="preserve"> would be taken care of in advance. The procedure </w:t>
      </w:r>
      <w:r w:rsidR="6D73911F" w:rsidRPr="66C8CD3B">
        <w:rPr>
          <w:color w:val="000000" w:themeColor="text1"/>
        </w:rPr>
        <w:t>for seeking</w:t>
      </w:r>
      <w:r w:rsidRPr="66C8CD3B">
        <w:rPr>
          <w:color w:val="000000" w:themeColor="text1"/>
        </w:rPr>
        <w:t xml:space="preserve"> healthcare at ANHC is rather simple. Patients can either call or walk in to set up an appointment and must provide proof of identity in the form of a photo ID, residency proof, insurance if applicable, and proof of income for the sliding fee scale program. The patient has an introductory appointment with a nurse and behavioral healthcare counselor to evaluate primary needs during the initial visit. Patients can then set up follow-up appointments ranging from one to three months, depending on the patient's healthcare plan (Athens Neighborhood Health Center). Patients on healthcare who require prescription drugs can either fill them out-of-office hours from the in-office or affiliated pharmacy. In general, it can be concluded that Athens Neighborhood Health Center is one of the most vital organizations within the Athens-Clarke County Community in terms of ensuring accessibility to healthcare, especially for the less privileged in society. The major factor that makes it so vital to the community is the fact that it is affordable, it offers integrated behavioral healthcare, and it provides healthcare in a manner that is very respectful of different cultures in society.</w:t>
      </w:r>
    </w:p>
    <w:p w14:paraId="5ACC8EB6" w14:textId="7915FB2E" w:rsidR="00F18318" w:rsidRDefault="00F18318" w:rsidP="00F18318">
      <w:pPr>
        <w:pStyle w:val="NormalWeb"/>
        <w:spacing w:before="0" w:beforeAutospacing="0" w:after="0" w:afterAutospacing="0" w:line="480" w:lineRule="auto"/>
        <w:ind w:firstLine="720"/>
        <w:rPr>
          <w:color w:val="000000" w:themeColor="text1"/>
        </w:rPr>
      </w:pPr>
    </w:p>
    <w:p w14:paraId="1BB35C36" w14:textId="77777777" w:rsidR="00215800" w:rsidRPr="00471898" w:rsidRDefault="00215800" w:rsidP="27F64FDA">
      <w:pPr>
        <w:pStyle w:val="Heading2"/>
        <w:rPr>
          <w:rFonts w:ascii="Times New Roman" w:hAnsi="Times New Roman" w:cs="Times New Roman"/>
          <w:i/>
          <w:iCs/>
          <w:color w:val="000000" w:themeColor="text1"/>
          <w:sz w:val="24"/>
          <w:szCs w:val="24"/>
        </w:rPr>
      </w:pPr>
      <w:bookmarkStart w:id="9" w:name="_Toc214982979"/>
      <w:r w:rsidRPr="27F64FDA">
        <w:rPr>
          <w:rFonts w:ascii="Times New Roman" w:hAnsi="Times New Roman" w:cs="Times New Roman"/>
          <w:i/>
          <w:iCs/>
          <w:color w:val="000000" w:themeColor="text1"/>
          <w:sz w:val="24"/>
          <w:szCs w:val="24"/>
        </w:rPr>
        <w:t>Mercy Health Center</w:t>
      </w:r>
      <w:bookmarkEnd w:id="9"/>
      <w:r w:rsidRPr="27F64FDA">
        <w:rPr>
          <w:rFonts w:ascii="Times New Roman" w:hAnsi="Times New Roman" w:cs="Times New Roman"/>
          <w:i/>
          <w:iCs/>
          <w:color w:val="000000" w:themeColor="text1"/>
          <w:sz w:val="24"/>
          <w:szCs w:val="24"/>
        </w:rPr>
        <w:t> </w:t>
      </w:r>
    </w:p>
    <w:p w14:paraId="4AE53332" w14:textId="77777777" w:rsidR="00215800" w:rsidRPr="004C0253" w:rsidRDefault="00215800" w:rsidP="00215800">
      <w:pPr>
        <w:pStyle w:val="NormalWeb"/>
        <w:spacing w:before="0" w:beforeAutospacing="0" w:after="0" w:afterAutospacing="0" w:line="480" w:lineRule="auto"/>
        <w:rPr>
          <w:color w:val="000000" w:themeColor="text1"/>
        </w:rPr>
      </w:pPr>
      <w:r>
        <w:rPr>
          <w:rStyle w:val="apple-tab-span"/>
          <w:color w:val="741B47"/>
        </w:rPr>
        <w:tab/>
      </w:r>
      <w:r w:rsidRPr="004C0253">
        <w:rPr>
          <w:color w:val="000000" w:themeColor="text1"/>
        </w:rPr>
        <w:t>Mercy Health Center is a faith-based nonprofit free clinic located at 700 Oglethorpe Avenue, Suite C7, in Athens, Georgia. The clinic provides high-quality medical, dental, pharmacy, and specialty care to uninsured adults living in Athens-Clarke County and the surrounding areas (Mercy Health Center, n.d.). Operating largely through volunteer physicians, nurses, and medical students from local universities, Mercy Health Center ensures that each patient receives compassionate and comprehensive care regardless of financial status. The clinic offers a wide range of services, including primary medical care such as physical exams, women’s health services, and chronic disease management (Mercy Health Center, n.d.). In addition, Mercy provides access to specialty clinics in fields like cardiology, dermatology, endocrinology, neurology, and orthopedics. For patients with emotional or psychological needs, the center offers mental health referrals and access to volunteer counselors who provide behavioral health support (Mercy Health Center, n.d.).</w:t>
      </w:r>
    </w:p>
    <w:p w14:paraId="55E9EC1D" w14:textId="77777777" w:rsidR="00215800" w:rsidRPr="004C0253" w:rsidRDefault="00215800" w:rsidP="00215800">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Mercy Health Center also operates an on-site pharmacy that dispenses free prescription medications to qualifying patients and provides laboratory and diagnostic testing at no cost through local partnerships (Mercy Health Center, n.d.). Beyond healthcare, the clinic offers social service assistance such as case management, insurance navigation, and referrals to community resources like Project Safe, food banks, and housing aid programs (Mercy Health Center, n.d.). To qualify for services, patients must be uninsured, at least 18 years old, live within Athens-Clarke County or a nearby county, and have an income below 200% of the Federal Poverty Level. All care, medications, and testing are provided entirely free of charge. The center does not bill insurance or collect copayments, though donations are welcomed (Mercy Health Center, n.d.).</w:t>
      </w:r>
    </w:p>
    <w:p w14:paraId="3CF9C487" w14:textId="7A09AFB0"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To access services, individuals must first complete an eligibility screening by calling (706) 425-9445 to schedule an appointment. Required documentation includes a government-issued photo ID, proof of residence, and proof of income such as recent pay stubs, a tax return, or an unemployment letter. Once eligibility is verified, patients are </w:t>
      </w:r>
      <w:r w:rsidR="114D3F96" w:rsidRPr="004C0253">
        <w:rPr>
          <w:color w:val="000000" w:themeColor="text1"/>
        </w:rPr>
        <w:t>assigned to</w:t>
      </w:r>
      <w:r w:rsidRPr="004C0253">
        <w:rPr>
          <w:color w:val="000000" w:themeColor="text1"/>
        </w:rPr>
        <w:t xml:space="preserve"> a primary care provider and can schedule appointments for specialty or pharmacy services as needed. The clinic operates Monday through Thursday from 8:30 a.m. to 5:00 p.m. and Fridays from 8:30 a.m. to 12:00 p.m., remaining closed on weekends and major holidays. Mercy Health Center also provides free on-site parking and Spanish interpretation services to improve accessibility for all patients (Mercy Health Center, n.d.).</w:t>
      </w:r>
    </w:p>
    <w:p w14:paraId="0BE4CC6D" w14:textId="005EE1EC" w:rsidR="00F18318" w:rsidRDefault="00F18318" w:rsidP="00F18318">
      <w:pPr>
        <w:pStyle w:val="NormalWeb"/>
        <w:spacing w:before="0" w:beforeAutospacing="0" w:after="0" w:afterAutospacing="0" w:line="480" w:lineRule="auto"/>
        <w:rPr>
          <w:color w:val="741B47"/>
        </w:rPr>
      </w:pPr>
    </w:p>
    <w:p w14:paraId="54F5321A" w14:textId="77777777" w:rsidR="00215800" w:rsidRPr="00CE496F" w:rsidRDefault="00215800" w:rsidP="00215800">
      <w:pPr>
        <w:pStyle w:val="Heading2"/>
        <w:spacing w:before="0" w:line="480" w:lineRule="auto"/>
        <w:rPr>
          <w:rFonts w:ascii="Times New Roman" w:hAnsi="Times New Roman" w:cs="Times New Roman"/>
          <w:color w:val="000000" w:themeColor="text1"/>
        </w:rPr>
      </w:pPr>
      <w:bookmarkStart w:id="10" w:name="_Toc214982980"/>
      <w:r w:rsidRPr="27F64FDA">
        <w:rPr>
          <w:rFonts w:ascii="Times New Roman" w:hAnsi="Times New Roman" w:cs="Times New Roman"/>
          <w:i/>
          <w:iCs/>
          <w:color w:val="000000" w:themeColor="text1"/>
          <w:sz w:val="24"/>
          <w:szCs w:val="24"/>
        </w:rPr>
        <w:t>Georgia Pathways to Coverage (Medicaid Expansion Program)</w:t>
      </w:r>
      <w:bookmarkEnd w:id="10"/>
    </w:p>
    <w:p w14:paraId="5D8FFF16" w14:textId="77777777" w:rsidR="00215800" w:rsidRPr="004C0253" w:rsidRDefault="00215800" w:rsidP="00215800">
      <w:pPr>
        <w:pStyle w:val="NormalWeb"/>
        <w:spacing w:before="0" w:beforeAutospacing="0" w:after="0" w:afterAutospacing="0" w:line="480" w:lineRule="auto"/>
        <w:rPr>
          <w:color w:val="000000" w:themeColor="text1"/>
        </w:rPr>
      </w:pPr>
      <w:r>
        <w:rPr>
          <w:rStyle w:val="apple-tab-span"/>
          <w:i/>
          <w:iCs/>
          <w:color w:val="741B47"/>
        </w:rPr>
        <w:tab/>
      </w:r>
      <w:r w:rsidRPr="004C0253">
        <w:rPr>
          <w:color w:val="000000" w:themeColor="text1"/>
        </w:rPr>
        <w:t>Georgia Pathways to Coverage (Medicaid Expansion Program) is a statewide initiative designed to provide affordable healthcare coverage to low-income adults in Georgia who are not otherwise eligible for traditional Medicaid (Georgia Department of Human Services, n.d.). The program offers access to primary care, mental health services, prescriptions, and hospital care for adults between the ages of 19 and 64 who meet specific income and activity requirements. To qualify, applicants must be Georgia residents with an income below 100% of the Federal Poverty Level, which is approximately $1,215 per month for a single individual in 2025. Additionally, participants are required to complete at least 80 hours per month of qualifying activities such as employment, job training, volunteering, or education. Individuals who are already enrolled in Medicaid or Medicare are not eligible for this program (Georgia Department of Human Services, n.d.).</w:t>
      </w:r>
    </w:p>
    <w:p w14:paraId="76F817CE" w14:textId="0209419B" w:rsidR="006E7D69" w:rsidRPr="004C0253" w:rsidRDefault="00215800" w:rsidP="006E7D69">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Georgia Pathways to Coverage aims to increase healthcare accessibility and reduce the number of uninsured adults while promoting workforce participation. The program has no monthly premiums and requires very low or no copayments for most medical services (Georgia Department of Human Services, n.d.). Interested individuals can apply online through the Georgia Gateway portal at www.gateway.ga.gov or visit their local Division of Family and Children Services (DFCS) office for assistance from a caseworker. The Athens DFCS location is at 284 N Avenue, Athens, GA (Georgia Department of Human Services, n.d.). Applicants must submit proof of income, Georgia residency, and qualifying activities when completing their application. Once approved, participants receive an approval letter by mail and can then select a Care Management Organization (CMO) to begin receiving benefits. For more information or assistance, applicants can contact the DFCS helpline at 1-877-423-4746 (Georgia Department of Human Services, n.d.).</w:t>
      </w:r>
    </w:p>
    <w:p w14:paraId="5726DD44" w14:textId="202BA9C9" w:rsidR="00F18318" w:rsidRDefault="00F18318" w:rsidP="00F18318">
      <w:pPr>
        <w:pStyle w:val="NormalWeb"/>
        <w:spacing w:before="0" w:beforeAutospacing="0" w:after="0" w:afterAutospacing="0" w:line="480" w:lineRule="auto"/>
        <w:rPr>
          <w:color w:val="741B47"/>
        </w:rPr>
      </w:pPr>
    </w:p>
    <w:p w14:paraId="7B316494" w14:textId="0BACE22C" w:rsidR="00215800" w:rsidRPr="003C6CC0" w:rsidRDefault="00215800" w:rsidP="003C6CC0">
      <w:pPr>
        <w:pStyle w:val="Heading1"/>
        <w:rPr>
          <w:rFonts w:ascii="Times New Roman" w:hAnsi="Times New Roman" w:cs="Times New Roman"/>
          <w:b/>
          <w:bCs/>
          <w:color w:val="000000" w:themeColor="text1"/>
          <w:sz w:val="28"/>
          <w:szCs w:val="28"/>
        </w:rPr>
      </w:pPr>
      <w:bookmarkStart w:id="11" w:name="_Toc214982981"/>
      <w:r w:rsidRPr="27F64FDA">
        <w:rPr>
          <w:rFonts w:ascii="Times New Roman" w:hAnsi="Times New Roman" w:cs="Times New Roman"/>
          <w:b/>
          <w:bCs/>
          <w:color w:val="000000" w:themeColor="text1"/>
          <w:sz w:val="28"/>
          <w:szCs w:val="28"/>
        </w:rPr>
        <w:t>Sustainable Solutions</w:t>
      </w:r>
      <w:bookmarkEnd w:id="11"/>
    </w:p>
    <w:p w14:paraId="1822F2AD" w14:textId="77777777" w:rsidR="00215800" w:rsidRPr="00CE496F" w:rsidRDefault="00215800" w:rsidP="27F64FDA">
      <w:pPr>
        <w:pStyle w:val="Heading2"/>
        <w:rPr>
          <w:rFonts w:ascii="Times New Roman" w:hAnsi="Times New Roman" w:cs="Times New Roman"/>
          <w:i/>
          <w:iCs/>
          <w:color w:val="000000" w:themeColor="text1"/>
          <w:sz w:val="24"/>
          <w:szCs w:val="24"/>
        </w:rPr>
      </w:pPr>
      <w:bookmarkStart w:id="12" w:name="_Toc214982982"/>
      <w:r w:rsidRPr="27F64FDA">
        <w:rPr>
          <w:rFonts w:ascii="Times New Roman" w:hAnsi="Times New Roman" w:cs="Times New Roman"/>
          <w:i/>
          <w:iCs/>
          <w:color w:val="000000" w:themeColor="text1"/>
          <w:sz w:val="24"/>
          <w:szCs w:val="24"/>
        </w:rPr>
        <w:t>Integrated Healthcare Development and Access</w:t>
      </w:r>
      <w:bookmarkEnd w:id="12"/>
    </w:p>
    <w:p w14:paraId="0FC4975D" w14:textId="6A60A96B" w:rsidR="00215800" w:rsidRPr="004C0253" w:rsidRDefault="00215800" w:rsidP="00215800">
      <w:pPr>
        <w:pStyle w:val="NormalWeb"/>
        <w:spacing w:before="0" w:beforeAutospacing="0" w:after="0" w:afterAutospacing="0" w:line="480" w:lineRule="auto"/>
        <w:ind w:firstLine="720"/>
        <w:rPr>
          <w:color w:val="000000" w:themeColor="text1"/>
        </w:rPr>
      </w:pPr>
      <w:r w:rsidRPr="004C0253">
        <w:rPr>
          <w:color w:val="000000" w:themeColor="text1"/>
        </w:rPr>
        <w:t xml:space="preserve">Currently, anywhere between 10 and 38% of bipolar patients are accessing their treatment exclusively in a primary care setting (Kilbourne et al., 2012). However, most primary care physicians are not professionally </w:t>
      </w:r>
      <w:r w:rsidR="006E7D69" w:rsidRPr="004C0253">
        <w:rPr>
          <w:color w:val="000000" w:themeColor="text1"/>
        </w:rPr>
        <w:t>trained,</w:t>
      </w:r>
      <w:r w:rsidRPr="004C0253">
        <w:rPr>
          <w:color w:val="000000" w:themeColor="text1"/>
        </w:rPr>
        <w:t xml:space="preserve"> nor do they have the time to conduct the correct clinical methods to diagnose bipolar disorder (Kilbourne et al., 2012). Since most of these patients are usually exclusively seen in a primary care setting, collaborative chronic care models are a way to integrate mental health care into these visits (Kilbourne et al., 2012). </w:t>
      </w:r>
    </w:p>
    <w:p w14:paraId="03EF8D53" w14:textId="66A5D306"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Due to limited mental healthcare and </w:t>
      </w:r>
      <w:r w:rsidR="6C73B792" w:rsidRPr="004C0253">
        <w:rPr>
          <w:color w:val="000000" w:themeColor="text1"/>
        </w:rPr>
        <w:t>cultural</w:t>
      </w:r>
      <w:r w:rsidRPr="004C0253">
        <w:rPr>
          <w:color w:val="000000" w:themeColor="text1"/>
        </w:rPr>
        <w:t xml:space="preserve"> stigma in accessing such services, collaborative chronic care models are a key solution in treating bipolar disorder (Kilbourne et al., 2012). Collaborative chronic care models can include self-management strategies and support, care management, and provider guideline support; they are also already well-established in a primary care setting (Kilbourne et al., 2012). Collaborative chronic care models create an optimal framework to aid primary care physicians in managing bipolar disorder (Kilbourne et al., 2012). They have six key components: (1) clinical information systems, (2) delivery system redesign, (3) decision/guideline support, (4) patient self-management support, (5) community resource linkages, and (6) leadership support (Kilbourne et al., 2012). Most collaborative chronic care models need three out of the six components to be successful. </w:t>
      </w:r>
    </w:p>
    <w:p w14:paraId="555C4A80" w14:textId="6A83A54C" w:rsidR="00215800" w:rsidRPr="004C0253" w:rsidRDefault="00215800" w:rsidP="00CE496F">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Another program that is being pilot tested involves using health care systems (Kilbourne et al., 2012). This mainly involves the use of electronic medical records and identifying patients with current depressive diagnoses and any additional risk factors for bipolar disorder (Kilbourne et al., 2012). Additionally, those who get a positive screening from this method would then receive a formal diagnosis by their primary care physicians and then move into bipolar management and treatment methods (Kilbourne et al., 2012). Managing bipolar disorder in a primary care setting should generally include a psychosocial component (Kilbourne et al., 2012). Psychosocial interventions are those that place an emphasis on patient ability to increase self-management of bipolar disorder (Kilbourne et al., 2012). All in all, integrated health care methods are key in helping those who have been diagnosed with bipolar disorder effectively manage their conditions and symptoms in their own terms.  </w:t>
      </w:r>
    </w:p>
    <w:p w14:paraId="4BD31291" w14:textId="5D0FDFF6" w:rsidR="00C65813" w:rsidRPr="004C0253" w:rsidRDefault="00C65813" w:rsidP="00CE496F">
      <w:pPr>
        <w:pStyle w:val="NormalWeb"/>
        <w:spacing w:before="0" w:beforeAutospacing="0" w:after="0" w:afterAutospacing="0" w:line="480" w:lineRule="auto"/>
        <w:rPr>
          <w:color w:val="000000" w:themeColor="text1"/>
        </w:rPr>
      </w:pPr>
      <w:r w:rsidRPr="004C0253">
        <w:rPr>
          <w:color w:val="000000" w:themeColor="text1"/>
        </w:rPr>
        <w:tab/>
      </w:r>
      <w:r w:rsidR="00AC3F39" w:rsidRPr="004C0253">
        <w:rPr>
          <w:color w:val="000000" w:themeColor="text1"/>
        </w:rPr>
        <w:t xml:space="preserve">Georgia should implement this solution since it allows for collaboration between care teams. Therefore, it takes some of the burden </w:t>
      </w:r>
      <w:r w:rsidR="00466DFA" w:rsidRPr="004C0253">
        <w:rPr>
          <w:color w:val="000000" w:themeColor="text1"/>
        </w:rPr>
        <w:t>from</w:t>
      </w:r>
      <w:r w:rsidR="00AC3F39" w:rsidRPr="004C0253">
        <w:rPr>
          <w:color w:val="000000" w:themeColor="text1"/>
        </w:rPr>
        <w:t xml:space="preserve"> primary care providers and </w:t>
      </w:r>
      <w:r w:rsidR="00466DFA" w:rsidRPr="004C0253">
        <w:rPr>
          <w:color w:val="000000" w:themeColor="text1"/>
        </w:rPr>
        <w:t xml:space="preserve">allows mental health experts to work in combination with these physicians. This would ultimately allow for more inclusive mental health </w:t>
      </w:r>
      <w:r w:rsidR="005841EC" w:rsidRPr="004C0253">
        <w:rPr>
          <w:color w:val="000000" w:themeColor="text1"/>
        </w:rPr>
        <w:t>care,</w:t>
      </w:r>
      <w:r w:rsidR="00466DFA" w:rsidRPr="004C0253">
        <w:rPr>
          <w:color w:val="000000" w:themeColor="text1"/>
        </w:rPr>
        <w:t xml:space="preserve"> and </w:t>
      </w:r>
      <w:r w:rsidR="00EB7386" w:rsidRPr="004C0253">
        <w:rPr>
          <w:color w:val="000000" w:themeColor="text1"/>
        </w:rPr>
        <w:t xml:space="preserve">it would strengthen </w:t>
      </w:r>
      <w:r w:rsidR="00C73B74" w:rsidRPr="004C0253">
        <w:rPr>
          <w:color w:val="000000" w:themeColor="text1"/>
        </w:rPr>
        <w:t xml:space="preserve">the current care landscape in Athens. </w:t>
      </w:r>
      <w:r w:rsidR="005841EC" w:rsidRPr="004C0253">
        <w:rPr>
          <w:color w:val="000000" w:themeColor="text1"/>
        </w:rPr>
        <w:t xml:space="preserve">To sum, </w:t>
      </w:r>
      <w:r w:rsidR="0097102D" w:rsidRPr="004C0253">
        <w:rPr>
          <w:color w:val="000000" w:themeColor="text1"/>
        </w:rPr>
        <w:t xml:space="preserve">Georgia can implement collaborate chronic care models to see better </w:t>
      </w:r>
      <w:r w:rsidR="00141B03" w:rsidRPr="004C0253">
        <w:rPr>
          <w:color w:val="000000" w:themeColor="text1"/>
        </w:rPr>
        <w:t xml:space="preserve">health </w:t>
      </w:r>
      <w:r w:rsidR="0097102D" w:rsidRPr="004C0253">
        <w:rPr>
          <w:color w:val="000000" w:themeColor="text1"/>
        </w:rPr>
        <w:t xml:space="preserve">outcomes and increased patient satisfaction </w:t>
      </w:r>
      <w:r w:rsidR="00141B03" w:rsidRPr="004C0253">
        <w:rPr>
          <w:color w:val="000000" w:themeColor="text1"/>
        </w:rPr>
        <w:t xml:space="preserve">within free and low-cost healthcare clinics. </w:t>
      </w:r>
    </w:p>
    <w:p w14:paraId="054DD49A" w14:textId="16E991C9" w:rsidR="00F18318" w:rsidRDefault="00F18318" w:rsidP="00F18318">
      <w:pPr>
        <w:pStyle w:val="NormalWeb"/>
        <w:spacing w:before="0" w:beforeAutospacing="0" w:after="0" w:afterAutospacing="0" w:line="480" w:lineRule="auto"/>
        <w:rPr>
          <w:color w:val="9900FF"/>
        </w:rPr>
      </w:pPr>
    </w:p>
    <w:p w14:paraId="50A303AA" w14:textId="77777777" w:rsidR="00215800" w:rsidRPr="00CE496F" w:rsidRDefault="00215800" w:rsidP="27F64FDA">
      <w:pPr>
        <w:pStyle w:val="Heading2"/>
        <w:rPr>
          <w:rFonts w:ascii="Times New Roman" w:hAnsi="Times New Roman" w:cs="Times New Roman"/>
          <w:i/>
          <w:iCs/>
          <w:color w:val="000000" w:themeColor="text1"/>
          <w:sz w:val="24"/>
          <w:szCs w:val="24"/>
        </w:rPr>
      </w:pPr>
      <w:bookmarkStart w:id="13" w:name="_Toc214982983"/>
      <w:r w:rsidRPr="27F64FDA">
        <w:rPr>
          <w:rFonts w:ascii="Times New Roman" w:hAnsi="Times New Roman" w:cs="Times New Roman"/>
          <w:i/>
          <w:iCs/>
          <w:color w:val="000000" w:themeColor="text1"/>
          <w:sz w:val="24"/>
          <w:szCs w:val="24"/>
        </w:rPr>
        <w:t>Economic Empowerment and Financial Independence</w:t>
      </w:r>
      <w:bookmarkEnd w:id="13"/>
    </w:p>
    <w:p w14:paraId="18D07191" w14:textId="01983D7B" w:rsidR="00215800" w:rsidRPr="004C0253" w:rsidRDefault="00215800" w:rsidP="00215800">
      <w:pPr>
        <w:pStyle w:val="NormalWeb"/>
        <w:spacing w:before="0" w:beforeAutospacing="0" w:after="0" w:afterAutospacing="0" w:line="480" w:lineRule="auto"/>
        <w:rPr>
          <w:color w:val="000000" w:themeColor="text1"/>
        </w:rPr>
      </w:pPr>
      <w:r>
        <w:rPr>
          <w:rStyle w:val="apple-tab-span"/>
          <w:color w:val="741B47"/>
        </w:rPr>
        <w:tab/>
      </w:r>
      <w:r w:rsidR="788572A0" w:rsidRPr="004C0253">
        <w:rPr>
          <w:color w:val="000000" w:themeColor="text1"/>
        </w:rPr>
        <w:t>A</w:t>
      </w:r>
      <w:r w:rsidRPr="004C0253">
        <w:rPr>
          <w:color w:val="000000" w:themeColor="text1"/>
        </w:rPr>
        <w:t xml:space="preserve"> sustainable </w:t>
      </w:r>
      <w:r w:rsidR="788572A0" w:rsidRPr="004C0253">
        <w:rPr>
          <w:color w:val="000000" w:themeColor="text1"/>
        </w:rPr>
        <w:t>solution</w:t>
      </w:r>
      <w:r w:rsidRPr="004C0253">
        <w:rPr>
          <w:color w:val="000000" w:themeColor="text1"/>
        </w:rPr>
        <w:t xml:space="preserve"> for individuals experiencing both bipolar disorder and intimate partner violence</w:t>
      </w:r>
      <w:r w:rsidR="788572A0" w:rsidRPr="004C0253">
        <w:rPr>
          <w:color w:val="000000" w:themeColor="text1"/>
        </w:rPr>
        <w:t xml:space="preserve"> must center on </w:t>
      </w:r>
      <w:r w:rsidRPr="004C0253">
        <w:rPr>
          <w:color w:val="000000" w:themeColor="text1"/>
        </w:rPr>
        <w:t xml:space="preserve">long-term </w:t>
      </w:r>
      <w:r w:rsidR="788572A0" w:rsidRPr="004C0253">
        <w:rPr>
          <w:color w:val="000000" w:themeColor="text1"/>
        </w:rPr>
        <w:t>economic empowerment. Financial insecurity is on</w:t>
      </w:r>
      <w:r w:rsidR="6F40269D" w:rsidRPr="004C0253">
        <w:rPr>
          <w:color w:val="000000" w:themeColor="text1"/>
        </w:rPr>
        <w:t>e of the primary reasons survivors remain in or return to unsafe environments. This is due to many experiencing economic abuse such as restricted access to money or employment sabotage (</w:t>
      </w:r>
      <w:r w:rsidR="0A3D1AE7" w:rsidRPr="004C0253">
        <w:rPr>
          <w:color w:val="000000" w:themeColor="text1"/>
        </w:rPr>
        <w:t>I</w:t>
      </w:r>
      <w:r w:rsidR="6F40269D" w:rsidRPr="004C0253">
        <w:rPr>
          <w:color w:val="000000" w:themeColor="text1"/>
        </w:rPr>
        <w:t>nstitute for Women’s Policy Resea</w:t>
      </w:r>
      <w:r w:rsidR="58D9AB84" w:rsidRPr="004C0253">
        <w:rPr>
          <w:color w:val="000000" w:themeColor="text1"/>
        </w:rPr>
        <w:t>rch, 2020).</w:t>
      </w:r>
      <w:r w:rsidR="2E624A57" w:rsidRPr="004C0253">
        <w:rPr>
          <w:color w:val="000000" w:themeColor="text1"/>
        </w:rPr>
        <w:t xml:space="preserve"> Individuals</w:t>
      </w:r>
      <w:r w:rsidRPr="004C0253">
        <w:rPr>
          <w:color w:val="000000" w:themeColor="text1"/>
        </w:rPr>
        <w:t xml:space="preserve"> with bipolar disorder </w:t>
      </w:r>
      <w:r w:rsidR="2E624A57" w:rsidRPr="004C0253">
        <w:rPr>
          <w:color w:val="000000" w:themeColor="text1"/>
        </w:rPr>
        <w:t xml:space="preserve">also </w:t>
      </w:r>
      <w:r w:rsidRPr="004C0253">
        <w:rPr>
          <w:color w:val="000000" w:themeColor="text1"/>
        </w:rPr>
        <w:t xml:space="preserve">face </w:t>
      </w:r>
      <w:r w:rsidR="2E624A57" w:rsidRPr="004C0253">
        <w:rPr>
          <w:color w:val="000000" w:themeColor="text1"/>
        </w:rPr>
        <w:t>high</w:t>
      </w:r>
      <w:r w:rsidRPr="004C0253">
        <w:rPr>
          <w:color w:val="000000" w:themeColor="text1"/>
        </w:rPr>
        <w:t xml:space="preserve"> rates of underemployment and workplace discrimination, which can </w:t>
      </w:r>
      <w:r w:rsidR="2E624A57" w:rsidRPr="004C0253">
        <w:rPr>
          <w:color w:val="000000" w:themeColor="text1"/>
        </w:rPr>
        <w:t>increase</w:t>
      </w:r>
      <w:r w:rsidRPr="004C0253">
        <w:rPr>
          <w:color w:val="000000" w:themeColor="text1"/>
        </w:rPr>
        <w:t xml:space="preserve"> dependence on </w:t>
      </w:r>
      <w:r w:rsidR="2E624A57" w:rsidRPr="004C0253">
        <w:rPr>
          <w:color w:val="000000" w:themeColor="text1"/>
        </w:rPr>
        <w:t xml:space="preserve">abusive partners </w:t>
      </w:r>
      <w:r w:rsidRPr="004C0253">
        <w:rPr>
          <w:color w:val="000000" w:themeColor="text1"/>
        </w:rPr>
        <w:t>(Marwaha et al., 2013).</w:t>
      </w:r>
      <w:r w:rsidR="2E624A57" w:rsidRPr="004C0253">
        <w:rPr>
          <w:color w:val="000000" w:themeColor="text1"/>
        </w:rPr>
        <w:t xml:space="preserve"> Because these financial vulnerabilities </w:t>
      </w:r>
      <w:bookmarkStart w:id="14" w:name="_Int_l5fSSyla"/>
      <w:r w:rsidR="2E624A57" w:rsidRPr="004C0253">
        <w:rPr>
          <w:color w:val="000000" w:themeColor="text1"/>
        </w:rPr>
        <w:t>persist</w:t>
      </w:r>
      <w:bookmarkEnd w:id="14"/>
      <w:r w:rsidR="2E624A57" w:rsidRPr="004C0253">
        <w:rPr>
          <w:color w:val="000000" w:themeColor="text1"/>
        </w:rPr>
        <w:t xml:space="preserve"> long-term, sustainable programs mus</w:t>
      </w:r>
      <w:r w:rsidR="32DEA42F" w:rsidRPr="004C0253">
        <w:rPr>
          <w:color w:val="000000" w:themeColor="text1"/>
        </w:rPr>
        <w:t xml:space="preserve">t focus on developing durable skills such as financial literacy, safe banking access, and workplace preparation. These approaches are sustainable because they build capacity rather than relying solely on short-term </w:t>
      </w:r>
      <w:r w:rsidR="4188EE69" w:rsidRPr="004C0253">
        <w:rPr>
          <w:color w:val="000000" w:themeColor="text1"/>
        </w:rPr>
        <w:t>crisis intervention.</w:t>
      </w:r>
    </w:p>
    <w:p w14:paraId="0E9629F5" w14:textId="41B26E2E" w:rsidR="4188EE69" w:rsidRPr="004C0253" w:rsidRDefault="4188EE69" w:rsidP="004C0253">
      <w:pPr>
        <w:pStyle w:val="NormalWeb"/>
        <w:spacing w:before="0" w:beforeAutospacing="0" w:after="0" w:afterAutospacing="0" w:line="480" w:lineRule="auto"/>
        <w:ind w:firstLine="720"/>
        <w:rPr>
          <w:color w:val="000000" w:themeColor="text1"/>
        </w:rPr>
      </w:pPr>
      <w:r w:rsidRPr="004C0253">
        <w:rPr>
          <w:color w:val="000000" w:themeColor="text1"/>
        </w:rPr>
        <w:t>To make this strategy actionable within Georgia, the state could adopt a model inspired by New York City’s Economic Empowerment Program (EEP), which provides job training, financial counseling, and employment connections tailored to</w:t>
      </w:r>
      <w:r w:rsidR="555B6B49" w:rsidRPr="004C0253">
        <w:rPr>
          <w:color w:val="000000" w:themeColor="text1"/>
        </w:rPr>
        <w:t xml:space="preserve"> survivors’ mental health and safety needs (New York City Office to End domestic and Gender-Based Violence, 2023). A Georgia-specific adaptation could operate through existing infrastructures such as Family Justice Centers, community clinics like Mercy Health </w:t>
      </w:r>
      <w:r w:rsidR="196004E6" w:rsidRPr="004C0253">
        <w:rPr>
          <w:color w:val="000000" w:themeColor="text1"/>
        </w:rPr>
        <w:t>Center, local DFCS offices, and nonprofit partners such as Project Safe. Integrating EEP-style services into these organizations would not require constructing new systems. Instead, Georgia could expand current programming to in</w:t>
      </w:r>
      <w:r w:rsidR="043B8CC1" w:rsidRPr="004C0253">
        <w:rPr>
          <w:color w:val="000000" w:themeColor="text1"/>
        </w:rPr>
        <w:t>clude digital literacy training, financial coaching, and coordinated mental health support. A model as such is sustainable long-term because it relies on low-cost partnerships with employers, universities,</w:t>
      </w:r>
      <w:r w:rsidR="642F45F2" w:rsidRPr="004C0253">
        <w:rPr>
          <w:color w:val="000000" w:themeColor="text1"/>
        </w:rPr>
        <w:t xml:space="preserve"> and volunteer financial educators, reducing financial burden and creating a </w:t>
      </w:r>
      <w:r w:rsidR="004C0253" w:rsidRPr="004C0253">
        <w:rPr>
          <w:color w:val="000000" w:themeColor="text1"/>
        </w:rPr>
        <w:t>consistent</w:t>
      </w:r>
      <w:r w:rsidR="642F45F2" w:rsidRPr="004C0253">
        <w:rPr>
          <w:color w:val="000000" w:themeColor="text1"/>
        </w:rPr>
        <w:t xml:space="preserve"> support network.</w:t>
      </w:r>
    </w:p>
    <w:p w14:paraId="5033ADC2" w14:textId="627E8C2B" w:rsidR="642F45F2" w:rsidRPr="004C0253" w:rsidRDefault="642F45F2" w:rsidP="004C0253">
      <w:pPr>
        <w:pStyle w:val="NormalWeb"/>
        <w:spacing w:before="0" w:beforeAutospacing="0" w:after="0" w:afterAutospacing="0" w:line="480" w:lineRule="auto"/>
        <w:ind w:firstLine="720"/>
        <w:rPr>
          <w:color w:val="000000" w:themeColor="text1"/>
        </w:rPr>
      </w:pPr>
      <w:r w:rsidRPr="004C0253">
        <w:rPr>
          <w:color w:val="000000" w:themeColor="text1"/>
        </w:rPr>
        <w:t xml:space="preserve">Georgia could also strengthen sustainability by implementing </w:t>
      </w:r>
      <w:r w:rsidR="2E246A82" w:rsidRPr="004C0253">
        <w:rPr>
          <w:color w:val="000000" w:themeColor="text1"/>
        </w:rPr>
        <w:t>policies</w:t>
      </w:r>
      <w:r w:rsidRPr="004C0253">
        <w:rPr>
          <w:color w:val="000000" w:themeColor="text1"/>
        </w:rPr>
        <w:t xml:space="preserve"> that embed economic services directly into state mental health and IPV systems. When individuals access behavioral health clinics, Medicaid pathways, or IPV shelters, they </w:t>
      </w:r>
      <w:bookmarkStart w:id="15" w:name="_Int_ZXIM9eZG"/>
      <w:r w:rsidRPr="004C0253">
        <w:rPr>
          <w:color w:val="000000" w:themeColor="text1"/>
        </w:rPr>
        <w:t>could</w:t>
      </w:r>
      <w:bookmarkEnd w:id="15"/>
      <w:r w:rsidRPr="004C0253">
        <w:rPr>
          <w:color w:val="000000" w:themeColor="text1"/>
        </w:rPr>
        <w:t xml:space="preserve"> </w:t>
      </w:r>
      <w:r w:rsidR="0913E925" w:rsidRPr="004C0253">
        <w:rPr>
          <w:color w:val="000000" w:themeColor="text1"/>
        </w:rPr>
        <w:t xml:space="preserve">be automatically connected to employment support, financial literacy programs, and legal aid. This is an approach </w:t>
      </w:r>
      <w:bookmarkStart w:id="16" w:name="_Int_a7kYuyKX"/>
      <w:r w:rsidR="0913E925" w:rsidRPr="004C0253">
        <w:rPr>
          <w:color w:val="000000" w:themeColor="text1"/>
        </w:rPr>
        <w:t>similar to</w:t>
      </w:r>
      <w:bookmarkEnd w:id="16"/>
      <w:r w:rsidR="0913E925" w:rsidRPr="004C0253">
        <w:rPr>
          <w:color w:val="000000" w:themeColor="text1"/>
        </w:rPr>
        <w:t xml:space="preserve"> the integrated systems used in Sweden and Canada. Sweden’s </w:t>
      </w:r>
      <w:r w:rsidR="63B46A00" w:rsidRPr="004C0253">
        <w:rPr>
          <w:color w:val="000000" w:themeColor="text1"/>
        </w:rPr>
        <w:t>welfare</w:t>
      </w:r>
      <w:r w:rsidR="0913E925" w:rsidRPr="004C0253">
        <w:rPr>
          <w:color w:val="000000" w:themeColor="text1"/>
        </w:rPr>
        <w:t xml:space="preserve"> structure </w:t>
      </w:r>
      <w:r w:rsidR="37C26CC7" w:rsidRPr="004C0253">
        <w:rPr>
          <w:color w:val="000000" w:themeColor="text1"/>
        </w:rPr>
        <w:t>emphasizes</w:t>
      </w:r>
      <w:r w:rsidR="0913E925" w:rsidRPr="004C0253">
        <w:rPr>
          <w:color w:val="000000" w:themeColor="text1"/>
        </w:rPr>
        <w:t xml:space="preserve"> state</w:t>
      </w:r>
      <w:r w:rsidR="10309A25" w:rsidRPr="004C0253">
        <w:rPr>
          <w:color w:val="000000" w:themeColor="text1"/>
        </w:rPr>
        <w:t xml:space="preserve"> </w:t>
      </w:r>
      <w:r w:rsidR="0913E925" w:rsidRPr="004C0253">
        <w:rPr>
          <w:color w:val="000000" w:themeColor="text1"/>
        </w:rPr>
        <w:t>funded healthcare, income support, and employment reintegration</w:t>
      </w:r>
      <w:r w:rsidR="1A7E9D75" w:rsidRPr="004C0253">
        <w:rPr>
          <w:color w:val="000000" w:themeColor="text1"/>
        </w:rPr>
        <w:t xml:space="preserve"> for individuals experiencing violence or severe mental illness (European Institute for Gender Equality, 2021). Can</w:t>
      </w:r>
      <w:r w:rsidR="0A1A524E" w:rsidRPr="004C0253">
        <w:rPr>
          <w:color w:val="000000" w:themeColor="text1"/>
        </w:rPr>
        <w:t xml:space="preserve">ada’s </w:t>
      </w:r>
      <w:r w:rsidR="1A7E9D75" w:rsidRPr="004C0253">
        <w:rPr>
          <w:color w:val="000000" w:themeColor="text1"/>
        </w:rPr>
        <w:t>Women’s Economic Council has shown that financial literacy education and peer-supported cooperative development significantly improve long-term eco</w:t>
      </w:r>
      <w:r w:rsidR="5053780D" w:rsidRPr="004C0253">
        <w:rPr>
          <w:color w:val="000000" w:themeColor="text1"/>
        </w:rPr>
        <w:t xml:space="preserve">nomic independence and reduce “return-to-abuse" rates (Women’s Economic Council, 2020). Implementing comparable coordinated care policies in Georgia </w:t>
      </w:r>
      <w:r w:rsidR="1F651019" w:rsidRPr="004C0253">
        <w:rPr>
          <w:color w:val="000000" w:themeColor="text1"/>
        </w:rPr>
        <w:t>would</w:t>
      </w:r>
      <w:r w:rsidR="2ABB01D3" w:rsidRPr="004C0253">
        <w:rPr>
          <w:color w:val="000000" w:themeColor="text1"/>
        </w:rPr>
        <w:t xml:space="preserve"> address the structural roots of economic dependence, creating a durable system that enhances safety and promotes sustained recovery.</w:t>
      </w:r>
    </w:p>
    <w:p w14:paraId="7328BBE9" w14:textId="71EAC00C" w:rsidR="00F18318" w:rsidRDefault="00F18318" w:rsidP="00F18318">
      <w:pPr>
        <w:pStyle w:val="NormalWeb"/>
        <w:spacing w:before="0" w:beforeAutospacing="0" w:after="0" w:afterAutospacing="0" w:line="480" w:lineRule="auto"/>
        <w:rPr>
          <w:color w:val="741B47"/>
        </w:rPr>
      </w:pPr>
    </w:p>
    <w:p w14:paraId="7EBB4EF2" w14:textId="77777777" w:rsidR="00215800" w:rsidRPr="00CE496F" w:rsidRDefault="00215800" w:rsidP="27F64FDA">
      <w:pPr>
        <w:pStyle w:val="Heading2"/>
        <w:rPr>
          <w:rFonts w:ascii="Times New Roman" w:hAnsi="Times New Roman" w:cs="Times New Roman"/>
          <w:i/>
          <w:iCs/>
          <w:color w:val="000000" w:themeColor="text1"/>
          <w:sz w:val="24"/>
          <w:szCs w:val="24"/>
        </w:rPr>
      </w:pPr>
      <w:bookmarkStart w:id="17" w:name="_Toc214982984"/>
      <w:r w:rsidRPr="27F64FDA">
        <w:rPr>
          <w:rFonts w:ascii="Times New Roman" w:hAnsi="Times New Roman" w:cs="Times New Roman"/>
          <w:i/>
          <w:iCs/>
          <w:color w:val="000000" w:themeColor="text1"/>
          <w:sz w:val="24"/>
          <w:szCs w:val="24"/>
        </w:rPr>
        <w:t>Housing Stability and Safe Environments</w:t>
      </w:r>
      <w:bookmarkEnd w:id="17"/>
    </w:p>
    <w:p w14:paraId="72D08F8C" w14:textId="77777777" w:rsidR="00215800" w:rsidRPr="004C0253" w:rsidRDefault="00215800" w:rsidP="00215800">
      <w:pPr>
        <w:pStyle w:val="NormalWeb"/>
        <w:spacing w:before="0" w:beforeAutospacing="0" w:after="0" w:afterAutospacing="0" w:line="480" w:lineRule="auto"/>
        <w:rPr>
          <w:color w:val="000000" w:themeColor="text1"/>
        </w:rPr>
      </w:pPr>
      <w:r>
        <w:rPr>
          <w:rStyle w:val="apple-tab-span"/>
          <w:color w:val="0000FF"/>
        </w:rPr>
        <w:tab/>
      </w:r>
      <w:r w:rsidRPr="004C0253">
        <w:rPr>
          <w:color w:val="000000" w:themeColor="text1"/>
        </w:rPr>
        <w:t>Having a stable and secure home environment is essential for individuals struggling with mental illness and IPV, particularly those who are seeking long-term recovery and well-being. Individuals with stable housing are much more likely to remain engaged in mental health treatment and recovery. Without a secure living environment, individuals carry a much higher likelihood of relapse or re-exposure to IPV, as they are facing risks that have not been resolved. According to a journal referenced by the Substance Abuse and Mental Health Services Administration, mental health outcomes for individuals struggling with severe mental illness were greatly improved by promoting follow-up care adherence and stress management (SAMHSA, 2013).  </w:t>
      </w:r>
    </w:p>
    <w:p w14:paraId="461FF4F4" w14:textId="6B2B87F7"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 xml:space="preserve">For survivors in situations similar to Jessica’s, stability in housing alone is not nearly enough to make </w:t>
      </w:r>
      <w:r w:rsidR="7C83C5D9" w:rsidRPr="004C0253">
        <w:rPr>
          <w:color w:val="000000" w:themeColor="text1"/>
        </w:rPr>
        <w:t>very</w:t>
      </w:r>
      <w:r w:rsidRPr="004C0253">
        <w:rPr>
          <w:color w:val="000000" w:themeColor="text1"/>
        </w:rPr>
        <w:t xml:space="preserve"> meaningful </w:t>
      </w:r>
      <w:r w:rsidR="4A85882F" w:rsidRPr="004C0253">
        <w:rPr>
          <w:color w:val="000000" w:themeColor="text1"/>
        </w:rPr>
        <w:t>improvements</w:t>
      </w:r>
      <w:r w:rsidRPr="004C0253">
        <w:rPr>
          <w:color w:val="000000" w:themeColor="text1"/>
        </w:rPr>
        <w:t>. Recovery must be integrated with trauma-informed treatment that prioritizes security, independence, and trust. An example of this could be a trauma-informed transitional housing program, such as those that are funded through the U.S. Department of Housing and Urban Development’s Continuum of Care plan. This plan assists survivors in accessing temporary housing and affordable supportive mental health services after facing significant life challenges (DHUD, 2023). Jessica would likely benefit from a program similar to this because it would help her not only stabilize her mental health, but also simultaneously learn skills to succeed independently later on. Another potential option is permanent supportive housing (PSH), which pairs affordable, safe housing with personalized mental health treatment. One study conducted in 2020 found that when a large proportion of individuals have access to PSH, there are reductions in psychiatric hospitalization rates and IPV revictimization rates among individuals with mental illnesses (Tsai et al., 2020). </w:t>
      </w:r>
    </w:p>
    <w:p w14:paraId="530521A9" w14:textId="77777777" w:rsidR="00215800" w:rsidRPr="004C0253" w:rsidRDefault="00215800" w:rsidP="66C8CD3B">
      <w:pPr>
        <w:pStyle w:val="NormalWeb"/>
        <w:spacing w:before="0" w:beforeAutospacing="0" w:after="0" w:afterAutospacing="0" w:line="480" w:lineRule="auto"/>
        <w:rPr>
          <w:color w:val="000000" w:themeColor="text1"/>
        </w:rPr>
      </w:pPr>
      <w:r w:rsidRPr="004C0253">
        <w:rPr>
          <w:rStyle w:val="apple-tab-span"/>
          <w:color w:val="000000" w:themeColor="text1"/>
        </w:rPr>
        <w:tab/>
      </w:r>
      <w:r w:rsidRPr="004C0253">
        <w:rPr>
          <w:color w:val="000000" w:themeColor="text1"/>
        </w:rPr>
        <w:t>Safe environments must branch beyond housing to include access to recovery support systems and a strong community foundation. Organizing partnerships with local housing organizations, behavioral health centers, and domestic violence agencies could ensure that all survivors are connected with all of the potential resources they could need. Various agencies located around Athens are centered around promoting advocacy in mental health and providing counseling and transitional housing for survivors in need. In addition to this, there are also telehealth opportunities available within these agencies, which can encourage follow-up care for individuals struggling with reliable transportation or finances. Safe, sustainable housing environments are not only protective factors for survivors of IPV and chronic mental illness, but serve as stepping stones for their recovery and long-term well-being. </w:t>
      </w:r>
    </w:p>
    <w:p w14:paraId="7C57D02F" w14:textId="1EA333BC" w:rsidR="00F18318" w:rsidRDefault="00F18318" w:rsidP="00F18318">
      <w:pPr>
        <w:pStyle w:val="NormalWeb"/>
        <w:spacing w:before="0" w:beforeAutospacing="0" w:after="0" w:afterAutospacing="0" w:line="480" w:lineRule="auto"/>
        <w:rPr>
          <w:color w:val="0000FF"/>
        </w:rPr>
      </w:pPr>
    </w:p>
    <w:p w14:paraId="06E93540" w14:textId="77777777" w:rsidR="00215800" w:rsidRPr="00CE496F" w:rsidRDefault="00215800" w:rsidP="27F64FDA">
      <w:pPr>
        <w:pStyle w:val="Heading2"/>
        <w:rPr>
          <w:rFonts w:ascii="Times New Roman" w:hAnsi="Times New Roman" w:cs="Times New Roman"/>
          <w:i/>
          <w:iCs/>
          <w:color w:val="000000" w:themeColor="text1"/>
          <w:sz w:val="24"/>
          <w:szCs w:val="24"/>
        </w:rPr>
      </w:pPr>
      <w:bookmarkStart w:id="18" w:name="_Toc214982985"/>
      <w:r w:rsidRPr="27F64FDA">
        <w:rPr>
          <w:rFonts w:ascii="Times New Roman" w:hAnsi="Times New Roman" w:cs="Times New Roman"/>
          <w:i/>
          <w:iCs/>
          <w:color w:val="000000" w:themeColor="text1"/>
          <w:sz w:val="24"/>
          <w:szCs w:val="24"/>
        </w:rPr>
        <w:t>Community Education and Stigma Reduction</w:t>
      </w:r>
      <w:bookmarkEnd w:id="18"/>
    </w:p>
    <w:p w14:paraId="3BAC9E75" w14:textId="77777777" w:rsidR="00215800" w:rsidRDefault="00215800" w:rsidP="00215800">
      <w:pPr>
        <w:pStyle w:val="NormalWeb"/>
        <w:spacing w:before="0" w:beforeAutospacing="0" w:after="0" w:afterAutospacing="0" w:line="480" w:lineRule="auto"/>
      </w:pPr>
      <w:r>
        <w:rPr>
          <w:rStyle w:val="apple-tab-span"/>
          <w:color w:val="000000"/>
        </w:rPr>
        <w:tab/>
      </w:r>
      <w:r>
        <w:rPr>
          <w:color w:val="000000"/>
        </w:rPr>
        <w:t>Individuals experiencing both bipolar disorder and IPV require community education and stigma reduction as essential preparation for recovery. Most people do not report abuse, seek help, or engage with community resources, as they feel the stigma of mental illness and trauma. Stigma is perceived as a psychological and structural process that enables discrimination, social exclusion, and delays or barriers to treatment. Education that reduces stigma creates awareness among the community, encourages treatment-seeking attitudes, and creates a safe environment that nurtures recovery.</w:t>
      </w:r>
    </w:p>
    <w:p w14:paraId="6847CFE9" w14:textId="49026501" w:rsidR="00215800" w:rsidRDefault="00215800" w:rsidP="66C8CD3B">
      <w:pPr>
        <w:pStyle w:val="NormalWeb"/>
        <w:spacing w:before="0" w:beforeAutospacing="0" w:after="0" w:afterAutospacing="0" w:line="480" w:lineRule="auto"/>
      </w:pPr>
      <w:r>
        <w:rPr>
          <w:rStyle w:val="apple-tab-span"/>
          <w:color w:val="000000"/>
        </w:rPr>
        <w:tab/>
      </w:r>
      <w:r>
        <w:rPr>
          <w:color w:val="000000"/>
        </w:rPr>
        <w:t xml:space="preserve">Research from a variety of programs around the world shows that stigma reduction and community education can effectively change attitudes and help facilitate cultural change over time. The Time to Change initiative in England (2007–2021) used mass media campaigns together with local events, established ‘social contact’ where people with first-hand experience of mental illness shared their stories of recovery. In a ten-year evaluation of the program, there were consistent improvements in public knowledge and significant reductions in discrimination against people with mental illness (González-Sanguino et al., 2019). There are similar examples from Canada with the Opening Minds initiative from the Mental Health Commission of Canada, which delivered contact-based workshops in schools, workplaces, and health settings. More than 60 of these programs were evaluated and found to significantly reduce stigma and improve acceptance of people living with mental illness (Stuart et al., 2014). These types of initiatives highlight the need for sustained funding, </w:t>
      </w:r>
      <w:r w:rsidR="0F8A015F">
        <w:rPr>
          <w:color w:val="000000"/>
        </w:rPr>
        <w:t>training</w:t>
      </w:r>
      <w:r>
        <w:rPr>
          <w:color w:val="000000"/>
        </w:rPr>
        <w:t xml:space="preserve"> peer </w:t>
      </w:r>
      <w:r w:rsidR="2A2211AA">
        <w:rPr>
          <w:color w:val="000000"/>
        </w:rPr>
        <w:t>leaders,</w:t>
      </w:r>
      <w:r>
        <w:rPr>
          <w:color w:val="000000"/>
        </w:rPr>
        <w:t xml:space="preserve"> and community ownership </w:t>
      </w:r>
      <w:r w:rsidR="00FE76E3">
        <w:rPr>
          <w:color w:val="000000"/>
        </w:rPr>
        <w:t>to</w:t>
      </w:r>
      <w:r>
        <w:rPr>
          <w:color w:val="000000"/>
        </w:rPr>
        <w:t xml:space="preserve"> be </w:t>
      </w:r>
      <w:r w:rsidR="3EB50AD5">
        <w:rPr>
          <w:color w:val="000000"/>
        </w:rPr>
        <w:t>effective in the</w:t>
      </w:r>
      <w:r>
        <w:rPr>
          <w:color w:val="000000"/>
        </w:rPr>
        <w:t xml:space="preserve"> long-term</w:t>
      </w:r>
      <w:r w:rsidR="0C17AB53">
        <w:rPr>
          <w:color w:val="000000"/>
        </w:rPr>
        <w:t xml:space="preserve">, and would be highly beneficial if implemented in Georgia. </w:t>
      </w:r>
    </w:p>
    <w:p w14:paraId="25FFFC95" w14:textId="7E8F309E" w:rsidR="00215800" w:rsidRDefault="00215800" w:rsidP="00FE76E3">
      <w:pPr>
        <w:pStyle w:val="NormalWeb"/>
        <w:spacing w:before="0" w:beforeAutospacing="0" w:after="0" w:afterAutospacing="0" w:line="480" w:lineRule="auto"/>
        <w:ind w:firstLine="720"/>
      </w:pPr>
      <w:r>
        <w:rPr>
          <w:color w:val="000000"/>
        </w:rPr>
        <w:t>Community education for violence prevention and mental health literacy has been successfully implemented in the US using a variety of strategies. The Green Dot bystander intervention program was created to teach students how to identify and safely intervene in violent situations. It was tested in high schools in Kentucky. Schools that used Green Dot reported a 50% decrease in sexual violence and higher bystander engagement with the bystander intervention model in comparison to control schools during a five-year longitudinal study of the program (Coker et al., 2017).  In terms of mental health, Mental Health First Aid (MHFA) has been effectively introduced in American communities to teach people how to identify early indicators that someone may be in distress, assist someone who is in distress, and link them to mental health resources. Studies show that MHFA significantly increases mental-health literacy, reduces stigma, and improves confidence in supporting others (Forthal et al., 2022). </w:t>
      </w:r>
    </w:p>
    <w:p w14:paraId="688998EC" w14:textId="2B8101A6" w:rsidR="00215800" w:rsidRDefault="00215800" w:rsidP="66C8CD3B">
      <w:pPr>
        <w:pStyle w:val="NormalWeb"/>
        <w:spacing w:before="0" w:beforeAutospacing="0" w:after="0" w:afterAutospacing="0" w:line="480" w:lineRule="auto"/>
      </w:pPr>
      <w:r>
        <w:rPr>
          <w:rStyle w:val="apple-tab-span"/>
          <w:color w:val="000000"/>
        </w:rPr>
        <w:tab/>
      </w:r>
      <w:r w:rsidR="6E89DA2C">
        <w:rPr>
          <w:color w:val="000000"/>
        </w:rPr>
        <w:t>To</w:t>
      </w:r>
      <w:r>
        <w:rPr>
          <w:color w:val="000000"/>
        </w:rPr>
        <w:t xml:space="preserve"> sustain community education initiatives, it is essential to include opportunities for peer involvement and assessment through ongoing culturally safe practice.  In addition to public awareness campaigns and integrating MHFA or bystander training into other existing community resources, local governments, schools, and community organizations can provide continuing education workshops as a contact-based learning opportunity.  For example, California's Each Mind Matters has successfully utilized school alliances, social marketing, and storytelling to normalize conversations surrounding mental health and foster </w:t>
      </w:r>
      <w:r w:rsidR="5323F6E0">
        <w:rPr>
          <w:color w:val="000000"/>
        </w:rPr>
        <w:t>motivation</w:t>
      </w:r>
      <w:r>
        <w:rPr>
          <w:color w:val="000000"/>
        </w:rPr>
        <w:t xml:space="preserve"> to seek help (Collins et al., 2019). </w:t>
      </w:r>
    </w:p>
    <w:p w14:paraId="01BC89CD" w14:textId="0CC25B3C" w:rsidR="00560084" w:rsidRDefault="00215800" w:rsidP="66C8CD3B">
      <w:pPr>
        <w:pStyle w:val="NormalWeb"/>
        <w:spacing w:before="0" w:beforeAutospacing="0" w:after="0" w:afterAutospacing="0" w:line="480" w:lineRule="auto"/>
        <w:rPr>
          <w:color w:val="000000"/>
        </w:rPr>
      </w:pPr>
      <w:r>
        <w:rPr>
          <w:rStyle w:val="apple-tab-span"/>
          <w:color w:val="000000"/>
        </w:rPr>
        <w:tab/>
      </w:r>
      <w:r>
        <w:rPr>
          <w:color w:val="000000"/>
        </w:rPr>
        <w:t xml:space="preserve">The lasting reduction of stigma rests on three fundamental principles: (1) long-term exposure that contributes to behavioral and attitudinal change, (2) community engagement through survivors and peer leadership, and (3) cross-sector collaboration among education, healthcare, and media. When community initiatives on education utilize these principles, they </w:t>
      </w:r>
      <w:r w:rsidR="05B24DB5">
        <w:rPr>
          <w:color w:val="000000"/>
        </w:rPr>
        <w:t>stem from</w:t>
      </w:r>
      <w:r>
        <w:rPr>
          <w:color w:val="000000"/>
        </w:rPr>
        <w:t xml:space="preserve"> stigma and foster empathy, communal responsibility, and safer recovery environments. As the examples at both the global and state levels herein illustrate, sustained education and stigma-reduction efforts are not merely add-ons, but at the very heart of breaking the cycle of silence, building resilience to mental health challenges, and supporting survivors' healing in the long term.</w:t>
      </w:r>
    </w:p>
    <w:p w14:paraId="0F40E4B1" w14:textId="7F077DC7" w:rsidR="00560084" w:rsidRDefault="00560084" w:rsidP="66C8CD3B">
      <w:pPr>
        <w:pStyle w:val="NormalWeb"/>
        <w:spacing w:before="0" w:beforeAutospacing="0" w:after="0" w:afterAutospacing="0" w:line="480" w:lineRule="auto"/>
        <w:rPr>
          <w:color w:val="000000"/>
        </w:rPr>
      </w:pPr>
    </w:p>
    <w:p w14:paraId="39B06DB6" w14:textId="1D453639" w:rsidR="006E7D69" w:rsidRPr="003D36DC" w:rsidRDefault="006E7D69" w:rsidP="003D36DC">
      <w:pPr>
        <w:pStyle w:val="Heading1"/>
        <w:rPr>
          <w:rFonts w:ascii="Times New Roman" w:hAnsi="Times New Roman" w:cs="Times New Roman"/>
          <w:b/>
          <w:bCs/>
          <w:color w:val="000000" w:themeColor="text1"/>
          <w:sz w:val="28"/>
          <w:szCs w:val="28"/>
        </w:rPr>
      </w:pPr>
      <w:bookmarkStart w:id="19" w:name="_Toc214982986"/>
      <w:r w:rsidRPr="003D36DC">
        <w:rPr>
          <w:rFonts w:ascii="Times New Roman" w:hAnsi="Times New Roman" w:cs="Times New Roman"/>
          <w:b/>
          <w:bCs/>
          <w:color w:val="000000" w:themeColor="text1"/>
          <w:sz w:val="28"/>
          <w:szCs w:val="28"/>
        </w:rPr>
        <w:t>Resource Handout</w:t>
      </w:r>
      <w:bookmarkEnd w:id="19"/>
    </w:p>
    <w:p w14:paraId="766B4A3F" w14:textId="0DA57CFE" w:rsidR="006E7D69" w:rsidRDefault="004A7E72" w:rsidP="27F64FDA">
      <w:pPr>
        <w:pStyle w:val="Heading2"/>
        <w:rPr>
          <w:rFonts w:ascii="Times New Roman" w:hAnsi="Times New Roman" w:cs="Times New Roman"/>
          <w:i/>
          <w:iCs/>
          <w:color w:val="000000" w:themeColor="text1"/>
          <w:sz w:val="24"/>
          <w:szCs w:val="24"/>
        </w:rPr>
      </w:pPr>
      <w:bookmarkStart w:id="20" w:name="_Toc214982987"/>
      <w:r w:rsidRPr="27F64FDA">
        <w:rPr>
          <w:rFonts w:ascii="Times New Roman" w:hAnsi="Times New Roman" w:cs="Times New Roman"/>
          <w:i/>
          <w:iCs/>
          <w:color w:val="000000" w:themeColor="text1"/>
          <w:sz w:val="24"/>
          <w:szCs w:val="24"/>
        </w:rPr>
        <w:t>A</w:t>
      </w:r>
      <w:r w:rsidR="00F66B0B" w:rsidRPr="27F64FDA">
        <w:rPr>
          <w:rFonts w:ascii="Times New Roman" w:hAnsi="Times New Roman" w:cs="Times New Roman"/>
          <w:i/>
          <w:iCs/>
          <w:color w:val="000000" w:themeColor="text1"/>
          <w:sz w:val="24"/>
          <w:szCs w:val="24"/>
        </w:rPr>
        <w:t>DVANTAGE BEHAVIORAL HEALTH</w:t>
      </w:r>
      <w:bookmarkEnd w:id="20"/>
    </w:p>
    <w:p w14:paraId="17D810B3" w14:textId="77777777" w:rsidR="007D2E81" w:rsidRDefault="00BB3475" w:rsidP="004F2372">
      <w:pPr>
        <w:spacing w:line="240" w:lineRule="auto"/>
        <w:rPr>
          <w:rFonts w:ascii="Times New Roman" w:hAnsi="Times New Roman" w:cs="Times New Roman"/>
        </w:rPr>
      </w:pPr>
      <w:r>
        <w:rPr>
          <w:rFonts w:ascii="Times New Roman" w:hAnsi="Times New Roman" w:cs="Times New Roman"/>
        </w:rPr>
        <w:t>240 Mitchell Bridge Road, Athens, GA 30606</w:t>
      </w:r>
    </w:p>
    <w:p w14:paraId="6DEA0126" w14:textId="50E8F20F" w:rsidR="007D2E81" w:rsidRDefault="007B3BD1" w:rsidP="00BB3475">
      <w:pPr>
        <w:spacing w:line="240" w:lineRule="auto"/>
        <w:rPr>
          <w:rFonts w:ascii="Times New Roman" w:hAnsi="Times New Roman" w:cs="Times New Roman"/>
        </w:rPr>
      </w:pPr>
      <w:r>
        <w:rPr>
          <w:rFonts w:ascii="Times New Roman" w:hAnsi="Times New Roman" w:cs="Times New Roman"/>
        </w:rPr>
        <w:t>(855) 333-9544</w:t>
      </w:r>
    </w:p>
    <w:p w14:paraId="3C1C4817" w14:textId="256840D4" w:rsidR="004F2372" w:rsidRPr="00695DC1" w:rsidRDefault="004F2372" w:rsidP="00BB3475">
      <w:pPr>
        <w:spacing w:line="240" w:lineRule="auto"/>
        <w:rPr>
          <w:rFonts w:ascii="Times New Roman" w:hAnsi="Times New Roman" w:cs="Times New Roman"/>
        </w:rPr>
      </w:pPr>
      <w:r w:rsidRPr="66C8CD3B">
        <w:rPr>
          <w:rFonts w:ascii="Times New Roman" w:hAnsi="Times New Roman" w:cs="Times New Roman"/>
        </w:rPr>
        <w:t xml:space="preserve">Advantage Behavioral Health </w:t>
      </w:r>
      <w:r w:rsidR="003F33EB" w:rsidRPr="66C8CD3B">
        <w:rPr>
          <w:rFonts w:ascii="Times New Roman" w:hAnsi="Times New Roman" w:cs="Times New Roman"/>
        </w:rPr>
        <w:t xml:space="preserve">is a community service board set up by the state of Georgia </w:t>
      </w:r>
      <w:r w:rsidR="00A309E2" w:rsidRPr="66C8CD3B">
        <w:rPr>
          <w:rFonts w:ascii="Times New Roman" w:hAnsi="Times New Roman" w:cs="Times New Roman"/>
        </w:rPr>
        <w:t xml:space="preserve">who provides </w:t>
      </w:r>
      <w:r w:rsidR="00B273E8" w:rsidRPr="66C8CD3B">
        <w:rPr>
          <w:rFonts w:ascii="Times New Roman" w:hAnsi="Times New Roman" w:cs="Times New Roman"/>
        </w:rPr>
        <w:t>behavioral</w:t>
      </w:r>
      <w:r w:rsidR="00A309E2" w:rsidRPr="66C8CD3B">
        <w:rPr>
          <w:rFonts w:ascii="Times New Roman" w:hAnsi="Times New Roman" w:cs="Times New Roman"/>
        </w:rPr>
        <w:t xml:space="preserve"> health care </w:t>
      </w:r>
      <w:r w:rsidR="00B273E8" w:rsidRPr="66C8CD3B">
        <w:rPr>
          <w:rFonts w:ascii="Times New Roman" w:hAnsi="Times New Roman" w:cs="Times New Roman"/>
        </w:rPr>
        <w:t xml:space="preserve">to residents of </w:t>
      </w:r>
      <w:r w:rsidR="003B7095" w:rsidRPr="66C8CD3B">
        <w:rPr>
          <w:rFonts w:ascii="Times New Roman" w:hAnsi="Times New Roman" w:cs="Times New Roman"/>
        </w:rPr>
        <w:t>Athens-Clarke County</w:t>
      </w:r>
      <w:r w:rsidR="00B273E8" w:rsidRPr="66C8CD3B">
        <w:rPr>
          <w:rFonts w:ascii="Times New Roman" w:hAnsi="Times New Roman" w:cs="Times New Roman"/>
        </w:rPr>
        <w:t xml:space="preserve">. </w:t>
      </w:r>
      <w:r w:rsidR="003B7095" w:rsidRPr="66C8CD3B">
        <w:rPr>
          <w:rFonts w:ascii="Times New Roman" w:hAnsi="Times New Roman" w:cs="Times New Roman"/>
        </w:rPr>
        <w:t xml:space="preserve">A list of services offered by Advantage Behavioral include </w:t>
      </w:r>
      <w:r w:rsidR="00705283" w:rsidRPr="66C8CD3B">
        <w:rPr>
          <w:rFonts w:ascii="Times New Roman" w:hAnsi="Times New Roman" w:cs="Times New Roman"/>
        </w:rPr>
        <w:t xml:space="preserve">outpatient mental health services, crisis stabilization care, </w:t>
      </w:r>
      <w:r w:rsidR="00AB362E" w:rsidRPr="66C8CD3B">
        <w:rPr>
          <w:rFonts w:ascii="Times New Roman" w:hAnsi="Times New Roman" w:cs="Times New Roman"/>
        </w:rPr>
        <w:t xml:space="preserve">health education and integrated care, supported employment program, </w:t>
      </w:r>
      <w:r w:rsidR="000F792C" w:rsidRPr="66C8CD3B">
        <w:rPr>
          <w:rFonts w:ascii="Times New Roman" w:hAnsi="Times New Roman" w:cs="Times New Roman"/>
        </w:rPr>
        <w:t>cognitive behavioral therapy, trauma recovery and empowerment model</w:t>
      </w:r>
      <w:r w:rsidR="001B263B" w:rsidRPr="66C8CD3B">
        <w:rPr>
          <w:rFonts w:ascii="Times New Roman" w:hAnsi="Times New Roman" w:cs="Times New Roman"/>
        </w:rPr>
        <w:t xml:space="preserve">, motivational interviewing, and the adult needs and strength assessment. </w:t>
      </w:r>
      <w:r w:rsidR="00A0620C" w:rsidRPr="66C8CD3B">
        <w:rPr>
          <w:rFonts w:ascii="Times New Roman" w:hAnsi="Times New Roman" w:cs="Times New Roman"/>
        </w:rPr>
        <w:t>Advantage Behavioral accepts a variety of health</w:t>
      </w:r>
      <w:r w:rsidR="008404A5" w:rsidRPr="66C8CD3B">
        <w:rPr>
          <w:rFonts w:ascii="Times New Roman" w:hAnsi="Times New Roman" w:cs="Times New Roman"/>
        </w:rPr>
        <w:t xml:space="preserve"> </w:t>
      </w:r>
      <w:r w:rsidR="10BC5680" w:rsidRPr="66C8CD3B">
        <w:rPr>
          <w:rFonts w:ascii="Times New Roman" w:hAnsi="Times New Roman" w:cs="Times New Roman"/>
        </w:rPr>
        <w:t>insurances,</w:t>
      </w:r>
      <w:r w:rsidR="008404A5" w:rsidRPr="66C8CD3B">
        <w:rPr>
          <w:rFonts w:ascii="Times New Roman" w:hAnsi="Times New Roman" w:cs="Times New Roman"/>
        </w:rPr>
        <w:t xml:space="preserve"> and patients </w:t>
      </w:r>
      <w:r w:rsidR="001758E0" w:rsidRPr="66C8CD3B">
        <w:rPr>
          <w:rFonts w:ascii="Times New Roman" w:hAnsi="Times New Roman" w:cs="Times New Roman"/>
        </w:rPr>
        <w:t>can</w:t>
      </w:r>
      <w:r w:rsidR="008404A5" w:rsidRPr="66C8CD3B">
        <w:rPr>
          <w:rFonts w:ascii="Times New Roman" w:hAnsi="Times New Roman" w:cs="Times New Roman"/>
        </w:rPr>
        <w:t xml:space="preserve"> pay any </w:t>
      </w:r>
      <w:r w:rsidR="00FB37D1" w:rsidRPr="66C8CD3B">
        <w:rPr>
          <w:rFonts w:ascii="Times New Roman" w:hAnsi="Times New Roman" w:cs="Times New Roman"/>
        </w:rPr>
        <w:t>added</w:t>
      </w:r>
      <w:r w:rsidR="008404A5" w:rsidRPr="66C8CD3B">
        <w:rPr>
          <w:rFonts w:ascii="Times New Roman" w:hAnsi="Times New Roman" w:cs="Times New Roman"/>
        </w:rPr>
        <w:t xml:space="preserve"> fees based on a </w:t>
      </w:r>
      <w:r w:rsidR="47BC8FE4" w:rsidRPr="66C8CD3B">
        <w:rPr>
          <w:rFonts w:ascii="Times New Roman" w:hAnsi="Times New Roman" w:cs="Times New Roman"/>
        </w:rPr>
        <w:t>sliding scale</w:t>
      </w:r>
      <w:r w:rsidR="008404A5" w:rsidRPr="66C8CD3B">
        <w:rPr>
          <w:rFonts w:ascii="Times New Roman" w:hAnsi="Times New Roman" w:cs="Times New Roman"/>
        </w:rPr>
        <w:t>.</w:t>
      </w:r>
    </w:p>
    <w:p w14:paraId="70558801" w14:textId="40D918BF" w:rsidR="004A7E72" w:rsidRDefault="00811F42" w:rsidP="27F64FDA">
      <w:pPr>
        <w:pStyle w:val="Heading2"/>
        <w:rPr>
          <w:rFonts w:ascii="Times New Roman" w:hAnsi="Times New Roman" w:cs="Times New Roman"/>
          <w:i/>
          <w:iCs/>
          <w:color w:val="000000" w:themeColor="text1"/>
          <w:sz w:val="24"/>
          <w:szCs w:val="24"/>
        </w:rPr>
      </w:pPr>
      <w:bookmarkStart w:id="21" w:name="_Toc214982988"/>
      <w:r w:rsidRPr="27F64FDA">
        <w:rPr>
          <w:rFonts w:ascii="Times New Roman" w:hAnsi="Times New Roman" w:cs="Times New Roman"/>
          <w:i/>
          <w:iCs/>
          <w:color w:val="000000" w:themeColor="text1"/>
          <w:sz w:val="24"/>
          <w:szCs w:val="24"/>
        </w:rPr>
        <w:t>P</w:t>
      </w:r>
      <w:r w:rsidR="00F66B0B" w:rsidRPr="27F64FDA">
        <w:rPr>
          <w:rFonts w:ascii="Times New Roman" w:hAnsi="Times New Roman" w:cs="Times New Roman"/>
          <w:i/>
          <w:iCs/>
          <w:color w:val="000000" w:themeColor="text1"/>
          <w:sz w:val="24"/>
          <w:szCs w:val="24"/>
        </w:rPr>
        <w:t>ROJECT SAFE</w:t>
      </w:r>
      <w:bookmarkEnd w:id="21"/>
    </w:p>
    <w:p w14:paraId="56786553" w14:textId="310D24DE" w:rsidR="00862913" w:rsidRDefault="0061667C" w:rsidP="00862913">
      <w:pPr>
        <w:rPr>
          <w:rFonts w:ascii="Times New Roman" w:hAnsi="Times New Roman" w:cs="Times New Roman"/>
          <w:color w:val="000000"/>
        </w:rPr>
      </w:pPr>
      <w:r w:rsidRPr="0061667C">
        <w:rPr>
          <w:rFonts w:ascii="Times New Roman" w:hAnsi="Times New Roman" w:cs="Times New Roman"/>
          <w:color w:val="000000"/>
        </w:rPr>
        <w:t>995 Hawthorne Avenue, Suite E, Athens, GA 30606</w:t>
      </w:r>
    </w:p>
    <w:p w14:paraId="47E93946" w14:textId="587594A4" w:rsidR="0061667C" w:rsidRDefault="0061667C" w:rsidP="00862913">
      <w:pPr>
        <w:rPr>
          <w:rFonts w:ascii="Times New Roman" w:hAnsi="Times New Roman" w:cs="Times New Roman"/>
          <w:color w:val="000000"/>
        </w:rPr>
      </w:pPr>
      <w:r>
        <w:rPr>
          <w:rFonts w:ascii="Times New Roman" w:hAnsi="Times New Roman" w:cs="Times New Roman"/>
          <w:color w:val="000000"/>
        </w:rPr>
        <w:t xml:space="preserve">(706) </w:t>
      </w:r>
      <w:r w:rsidR="003D3DA8">
        <w:rPr>
          <w:rFonts w:ascii="Times New Roman" w:hAnsi="Times New Roman" w:cs="Times New Roman"/>
          <w:color w:val="000000"/>
        </w:rPr>
        <w:t>425-8863</w:t>
      </w:r>
    </w:p>
    <w:p w14:paraId="1B4FACE3" w14:textId="794377AA" w:rsidR="00737132" w:rsidRPr="0061667C" w:rsidRDefault="00737132" w:rsidP="00862913">
      <w:pPr>
        <w:rPr>
          <w:rFonts w:ascii="Times New Roman" w:hAnsi="Times New Roman" w:cs="Times New Roman"/>
        </w:rPr>
      </w:pPr>
      <w:r w:rsidRPr="27F64FDA">
        <w:rPr>
          <w:rFonts w:ascii="Times New Roman" w:hAnsi="Times New Roman" w:cs="Times New Roman"/>
          <w:color w:val="000000" w:themeColor="text1"/>
        </w:rPr>
        <w:t xml:space="preserve">Project Safe is </w:t>
      </w:r>
      <w:r w:rsidR="00485662" w:rsidRPr="27F64FDA">
        <w:rPr>
          <w:rFonts w:ascii="Times New Roman" w:hAnsi="Times New Roman" w:cs="Times New Roman"/>
          <w:color w:val="000000" w:themeColor="text1"/>
        </w:rPr>
        <w:t xml:space="preserve">a non-profit </w:t>
      </w:r>
      <w:r w:rsidR="00BC321F" w:rsidRPr="27F64FDA">
        <w:rPr>
          <w:rFonts w:ascii="Times New Roman" w:hAnsi="Times New Roman" w:cs="Times New Roman"/>
          <w:color w:val="000000" w:themeColor="text1"/>
        </w:rPr>
        <w:t xml:space="preserve">organization </w:t>
      </w:r>
      <w:r w:rsidR="00D1185F" w:rsidRPr="27F64FDA">
        <w:rPr>
          <w:rFonts w:ascii="Times New Roman" w:hAnsi="Times New Roman" w:cs="Times New Roman"/>
          <w:color w:val="000000" w:themeColor="text1"/>
        </w:rPr>
        <w:t xml:space="preserve">that works to end domestic violence </w:t>
      </w:r>
      <w:r w:rsidR="00EE207D" w:rsidRPr="27F64FDA">
        <w:rPr>
          <w:rFonts w:ascii="Times New Roman" w:hAnsi="Times New Roman" w:cs="Times New Roman"/>
          <w:color w:val="000000" w:themeColor="text1"/>
        </w:rPr>
        <w:t xml:space="preserve">and provides confidential services </w:t>
      </w:r>
      <w:r w:rsidR="005C7592" w:rsidRPr="27F64FDA">
        <w:rPr>
          <w:rFonts w:ascii="Times New Roman" w:hAnsi="Times New Roman" w:cs="Times New Roman"/>
          <w:color w:val="000000" w:themeColor="text1"/>
        </w:rPr>
        <w:t xml:space="preserve">to those experiencing </w:t>
      </w:r>
      <w:r w:rsidR="007F710F" w:rsidRPr="27F64FDA">
        <w:rPr>
          <w:rFonts w:ascii="Times New Roman" w:hAnsi="Times New Roman" w:cs="Times New Roman"/>
          <w:color w:val="000000" w:themeColor="text1"/>
        </w:rPr>
        <w:t>i</w:t>
      </w:r>
      <w:r w:rsidR="001410E9" w:rsidRPr="27F64FDA">
        <w:rPr>
          <w:rFonts w:ascii="Times New Roman" w:hAnsi="Times New Roman" w:cs="Times New Roman"/>
          <w:color w:val="000000" w:themeColor="text1"/>
        </w:rPr>
        <w:t>ntimate partner violence and domestic violence.</w:t>
      </w:r>
      <w:r w:rsidR="00E60C4A" w:rsidRPr="27F64FDA">
        <w:rPr>
          <w:rFonts w:ascii="Times New Roman" w:hAnsi="Times New Roman" w:cs="Times New Roman"/>
          <w:color w:val="000000" w:themeColor="text1"/>
        </w:rPr>
        <w:t xml:space="preserve"> </w:t>
      </w:r>
      <w:r w:rsidR="00173936" w:rsidRPr="27F64FDA">
        <w:rPr>
          <w:rFonts w:ascii="Times New Roman" w:hAnsi="Times New Roman" w:cs="Times New Roman"/>
          <w:color w:val="000000" w:themeColor="text1"/>
        </w:rPr>
        <w:t xml:space="preserve">They primarily serve Madison, Oconee, </w:t>
      </w:r>
      <w:r w:rsidR="007F666B" w:rsidRPr="27F64FDA">
        <w:rPr>
          <w:rFonts w:ascii="Times New Roman" w:hAnsi="Times New Roman" w:cs="Times New Roman"/>
          <w:color w:val="000000" w:themeColor="text1"/>
        </w:rPr>
        <w:t xml:space="preserve">Clarke, and </w:t>
      </w:r>
      <w:r w:rsidR="00113F56" w:rsidRPr="27F64FDA">
        <w:rPr>
          <w:rFonts w:ascii="Times New Roman" w:hAnsi="Times New Roman" w:cs="Times New Roman"/>
          <w:color w:val="000000" w:themeColor="text1"/>
        </w:rPr>
        <w:t>Oglethorpe</w:t>
      </w:r>
      <w:r w:rsidR="007F666B" w:rsidRPr="27F64FDA">
        <w:rPr>
          <w:rFonts w:ascii="Times New Roman" w:hAnsi="Times New Roman" w:cs="Times New Roman"/>
          <w:color w:val="000000" w:themeColor="text1"/>
        </w:rPr>
        <w:t xml:space="preserve"> </w:t>
      </w:r>
      <w:r w:rsidR="00113F56" w:rsidRPr="27F64FDA">
        <w:rPr>
          <w:rFonts w:ascii="Times New Roman" w:hAnsi="Times New Roman" w:cs="Times New Roman"/>
          <w:color w:val="000000" w:themeColor="text1"/>
        </w:rPr>
        <w:t>County.</w:t>
      </w:r>
      <w:r w:rsidR="00927F6F" w:rsidRPr="27F64FDA">
        <w:rPr>
          <w:rFonts w:ascii="Times New Roman" w:hAnsi="Times New Roman" w:cs="Times New Roman"/>
          <w:color w:val="000000" w:themeColor="text1"/>
        </w:rPr>
        <w:t xml:space="preserve"> A list of services provided by Project Safe include </w:t>
      </w:r>
      <w:r w:rsidR="000E1BCE" w:rsidRPr="27F64FDA">
        <w:rPr>
          <w:rFonts w:ascii="Times New Roman" w:hAnsi="Times New Roman" w:cs="Times New Roman"/>
          <w:color w:val="000000" w:themeColor="text1"/>
        </w:rPr>
        <w:t xml:space="preserve">crisis intervention, </w:t>
      </w:r>
      <w:r w:rsidR="00BF45B3" w:rsidRPr="27F64FDA">
        <w:rPr>
          <w:rFonts w:ascii="Times New Roman" w:hAnsi="Times New Roman" w:cs="Times New Roman"/>
          <w:color w:val="000000" w:themeColor="text1"/>
        </w:rPr>
        <w:t>shelter, legal advocacy, counseling, community outreach,</w:t>
      </w:r>
      <w:r w:rsidR="00644434" w:rsidRPr="27F64FDA">
        <w:rPr>
          <w:rFonts w:ascii="Times New Roman" w:hAnsi="Times New Roman" w:cs="Times New Roman"/>
          <w:color w:val="000000" w:themeColor="text1"/>
        </w:rPr>
        <w:t xml:space="preserve"> </w:t>
      </w:r>
      <w:r w:rsidR="00714218" w:rsidRPr="27F64FDA">
        <w:rPr>
          <w:rFonts w:ascii="Times New Roman" w:hAnsi="Times New Roman" w:cs="Times New Roman"/>
          <w:color w:val="000000" w:themeColor="text1"/>
        </w:rPr>
        <w:t>community-based prevention, and education to reduce domestic violence within the community.</w:t>
      </w:r>
      <w:r w:rsidR="00FE2907" w:rsidRPr="27F64FDA">
        <w:rPr>
          <w:rFonts w:ascii="Times New Roman" w:hAnsi="Times New Roman" w:cs="Times New Roman"/>
          <w:color w:val="000000" w:themeColor="text1"/>
        </w:rPr>
        <w:t xml:space="preserve"> </w:t>
      </w:r>
      <w:r w:rsidR="004A6FD6" w:rsidRPr="27F64FDA">
        <w:rPr>
          <w:rFonts w:ascii="Times New Roman" w:hAnsi="Times New Roman" w:cs="Times New Roman"/>
          <w:color w:val="000000" w:themeColor="text1"/>
        </w:rPr>
        <w:t xml:space="preserve">All services offered by Project Safe are fully confidential and </w:t>
      </w:r>
      <w:r w:rsidR="00DC0D88" w:rsidRPr="27F64FDA">
        <w:rPr>
          <w:rFonts w:ascii="Times New Roman" w:hAnsi="Times New Roman" w:cs="Times New Roman"/>
          <w:color w:val="000000" w:themeColor="text1"/>
        </w:rPr>
        <w:t>free of charge.</w:t>
      </w:r>
    </w:p>
    <w:p w14:paraId="1D51F115" w14:textId="43AB5973" w:rsidR="27F64FDA" w:rsidRDefault="27F64FDA" w:rsidP="27F64FDA">
      <w:pPr>
        <w:rPr>
          <w:rFonts w:ascii="Times New Roman" w:hAnsi="Times New Roman" w:cs="Times New Roman"/>
          <w:color w:val="000000" w:themeColor="text1"/>
        </w:rPr>
      </w:pPr>
    </w:p>
    <w:p w14:paraId="6A160608" w14:textId="3D751562" w:rsidR="00811F42" w:rsidRPr="00107D58" w:rsidRDefault="00811F42" w:rsidP="27F64FDA">
      <w:pPr>
        <w:pStyle w:val="Heading2"/>
        <w:rPr>
          <w:rFonts w:ascii="Times New Roman" w:eastAsia="Times New Roman" w:hAnsi="Times New Roman" w:cs="Times New Roman"/>
          <w:i/>
          <w:iCs/>
          <w:color w:val="000000" w:themeColor="text1"/>
          <w:sz w:val="24"/>
          <w:szCs w:val="24"/>
        </w:rPr>
      </w:pPr>
      <w:bookmarkStart w:id="22" w:name="_Toc214982989"/>
      <w:r w:rsidRPr="27F64FDA">
        <w:rPr>
          <w:rFonts w:ascii="Times New Roman" w:eastAsia="Times New Roman" w:hAnsi="Times New Roman" w:cs="Times New Roman"/>
          <w:i/>
          <w:iCs/>
          <w:color w:val="auto"/>
          <w:sz w:val="24"/>
          <w:szCs w:val="24"/>
        </w:rPr>
        <w:t>A</w:t>
      </w:r>
      <w:r w:rsidR="004F0195" w:rsidRPr="27F64FDA">
        <w:rPr>
          <w:rFonts w:ascii="Times New Roman" w:eastAsia="Times New Roman" w:hAnsi="Times New Roman" w:cs="Times New Roman"/>
          <w:i/>
          <w:iCs/>
          <w:color w:val="auto"/>
          <w:sz w:val="24"/>
          <w:szCs w:val="24"/>
        </w:rPr>
        <w:t>THENS-CLARKE COUNTY TEMPORARY PROTECTIVE ORDER PROCESS</w:t>
      </w:r>
      <w:bookmarkEnd w:id="22"/>
    </w:p>
    <w:p w14:paraId="4213E527" w14:textId="61C6B763" w:rsidR="65B8D904" w:rsidRDefault="65B8D904" w:rsidP="27F64FDA">
      <w:pPr>
        <w:rPr>
          <w:rFonts w:ascii="Times New Roman" w:eastAsia="Times New Roman" w:hAnsi="Times New Roman" w:cs="Times New Roman"/>
        </w:rPr>
      </w:pPr>
      <w:r w:rsidRPr="27F64FDA">
        <w:rPr>
          <w:rFonts w:ascii="Times New Roman" w:eastAsia="Times New Roman" w:hAnsi="Times New Roman" w:cs="Times New Roman"/>
        </w:rPr>
        <w:t>325 E. Washington Street, Suite 450, Athens, GA 30601</w:t>
      </w:r>
    </w:p>
    <w:p w14:paraId="6F3B3619" w14:textId="4AB48339" w:rsidR="4281B65C" w:rsidRDefault="4281B65C" w:rsidP="27F64FDA">
      <w:pPr>
        <w:rPr>
          <w:rFonts w:ascii="Times New Roman" w:eastAsia="Times New Roman" w:hAnsi="Times New Roman" w:cs="Times New Roman"/>
        </w:rPr>
      </w:pPr>
      <w:r w:rsidRPr="27F64FDA">
        <w:rPr>
          <w:rFonts w:ascii="Times New Roman" w:eastAsia="Times New Roman" w:hAnsi="Times New Roman" w:cs="Times New Roman"/>
        </w:rPr>
        <w:t>706-613-3190</w:t>
      </w:r>
    </w:p>
    <w:p w14:paraId="394BA085" w14:textId="70305630" w:rsidR="59F9ABF0" w:rsidRDefault="59F9ABF0" w:rsidP="27F64FDA">
      <w:pPr>
        <w:pStyle w:val="NormalWeb"/>
        <w:spacing w:before="0" w:beforeAutospacing="0" w:after="0" w:afterAutospacing="0" w:line="276" w:lineRule="auto"/>
      </w:pPr>
      <w:r w:rsidRPr="27F64FDA">
        <w:t xml:space="preserve">The Athens-Clarke County Superior Court Clerk's Office is where a survivor may apply for a </w:t>
      </w:r>
      <w:r w:rsidR="419BED75" w:rsidRPr="27F64FDA">
        <w:t>Temporary Protective Order (TPO). A TPO, which is an order of the civil court, cannot allow an abuser to make contact, visit, or come near the survivor's home, workplace, or other specified areas (ACC). Other orders, such as child custody or support, may also be issued, as well as the removal of the abuser from a mutual household (ACC). This order is a highly significant safety protection for those who want to halt ongoing abuse without sacrificing their independence and security. Survivors</w:t>
      </w:r>
      <w:r w:rsidRPr="27F64FDA">
        <w:t xml:space="preserve"> can file with ease, and if necessary, direct help is available from trained Project Safe advocates to assist with paperwork, clarify the process, and offer emotional support at court hearings (ACC). </w:t>
      </w:r>
      <w:r w:rsidR="285DC199" w:rsidRPr="27F64FDA">
        <w:t xml:space="preserve"> </w:t>
      </w:r>
    </w:p>
    <w:p w14:paraId="35DD8FC0" w14:textId="7A84728B" w:rsidR="27F64FDA" w:rsidRDefault="27F64FDA" w:rsidP="27F64FDA">
      <w:pPr>
        <w:spacing w:after="0" w:line="276" w:lineRule="auto"/>
        <w:rPr>
          <w:rFonts w:ascii="Times New Roman" w:eastAsia="Times New Roman" w:hAnsi="Times New Roman" w:cs="Times New Roman"/>
        </w:rPr>
      </w:pPr>
    </w:p>
    <w:p w14:paraId="509433A8" w14:textId="0FB23CFB" w:rsidR="00811F42" w:rsidRPr="00107D58" w:rsidRDefault="00B0593F" w:rsidP="27F64FDA">
      <w:pPr>
        <w:pStyle w:val="Heading2"/>
        <w:rPr>
          <w:rFonts w:ascii="Times New Roman" w:eastAsia="Times New Roman" w:hAnsi="Times New Roman" w:cs="Times New Roman"/>
          <w:i/>
          <w:iCs/>
          <w:color w:val="000000" w:themeColor="text1"/>
          <w:sz w:val="24"/>
          <w:szCs w:val="24"/>
        </w:rPr>
      </w:pPr>
      <w:bookmarkStart w:id="23" w:name="_Toc214982990"/>
      <w:r w:rsidRPr="27F64FDA">
        <w:rPr>
          <w:rFonts w:ascii="Times New Roman" w:eastAsia="Times New Roman" w:hAnsi="Times New Roman" w:cs="Times New Roman"/>
          <w:i/>
          <w:iCs/>
          <w:color w:val="auto"/>
          <w:sz w:val="24"/>
          <w:szCs w:val="24"/>
        </w:rPr>
        <w:t>A</w:t>
      </w:r>
      <w:r w:rsidR="00F66B0B" w:rsidRPr="27F64FDA">
        <w:rPr>
          <w:rFonts w:ascii="Times New Roman" w:eastAsia="Times New Roman" w:hAnsi="Times New Roman" w:cs="Times New Roman"/>
          <w:i/>
          <w:iCs/>
          <w:color w:val="auto"/>
          <w:sz w:val="24"/>
          <w:szCs w:val="24"/>
        </w:rPr>
        <w:t>THENS NEIGHBORHOOD HEALTH CENTER</w:t>
      </w:r>
      <w:bookmarkEnd w:id="23"/>
    </w:p>
    <w:p w14:paraId="647A7A23" w14:textId="535FD8A7" w:rsidR="6BF619E1" w:rsidRDefault="6BF619E1" w:rsidP="27F64FDA">
      <w:pPr>
        <w:rPr>
          <w:rFonts w:ascii="Times New Roman" w:eastAsia="Times New Roman" w:hAnsi="Times New Roman" w:cs="Times New Roman"/>
        </w:rPr>
      </w:pPr>
      <w:r w:rsidRPr="27F64FDA">
        <w:rPr>
          <w:rFonts w:ascii="Times New Roman" w:eastAsia="Times New Roman" w:hAnsi="Times New Roman" w:cs="Times New Roman"/>
        </w:rPr>
        <w:t>402 MicKinley Dr, Athens, GA 30601</w:t>
      </w:r>
    </w:p>
    <w:p w14:paraId="227DA37C" w14:textId="1312D9F1" w:rsidR="6BF619E1" w:rsidRDefault="6BF619E1" w:rsidP="27F64FDA">
      <w:pPr>
        <w:rPr>
          <w:rFonts w:ascii="Times New Roman" w:eastAsia="Times New Roman" w:hAnsi="Times New Roman" w:cs="Times New Roman"/>
        </w:rPr>
      </w:pPr>
      <w:r w:rsidRPr="27F64FDA">
        <w:rPr>
          <w:rFonts w:ascii="Times New Roman" w:eastAsia="Times New Roman" w:hAnsi="Times New Roman" w:cs="Times New Roman"/>
        </w:rPr>
        <w:t>706-543-1145</w:t>
      </w:r>
    </w:p>
    <w:p w14:paraId="2ACE3330" w14:textId="6E41AF1F" w:rsidR="055A4EF2" w:rsidRDefault="055A4EF2" w:rsidP="27F64FDA">
      <w:pPr>
        <w:pStyle w:val="NormalWeb"/>
        <w:spacing w:before="0" w:beforeAutospacing="0" w:after="0" w:afterAutospacing="0" w:line="276" w:lineRule="auto"/>
      </w:pPr>
      <w:r w:rsidRPr="27F64FDA">
        <w:t xml:space="preserve">The Athens Neighborhood Health Center has numerous services that cater to the physical and behavioral aspects of patients’ well-being. The primary healthcare aspects include physical examinations, women’s healthcare exams, management of chronic diseases, laboratory work, and management of prescription refills (Athens Neighborhood Health Center). The Athens Neighborhood Health Center has integrated behavioral healthcare services, which involve mental healthcare screening and counseling in addition to healthcare services. </w:t>
      </w:r>
    </w:p>
    <w:p w14:paraId="58698004" w14:textId="38489B6A" w:rsidR="27F64FDA" w:rsidRDefault="27F64FDA" w:rsidP="27F64FDA">
      <w:pPr>
        <w:rPr>
          <w:rFonts w:ascii="Times New Roman" w:eastAsia="Times New Roman" w:hAnsi="Times New Roman" w:cs="Times New Roman"/>
        </w:rPr>
      </w:pPr>
    </w:p>
    <w:p w14:paraId="5C23EFC8" w14:textId="55D76B16" w:rsidR="00B0593F" w:rsidRPr="00107D58" w:rsidRDefault="00B0593F" w:rsidP="27F64FDA">
      <w:pPr>
        <w:pStyle w:val="Heading2"/>
        <w:rPr>
          <w:rFonts w:ascii="Times New Roman" w:eastAsia="Times New Roman" w:hAnsi="Times New Roman" w:cs="Times New Roman"/>
          <w:i/>
          <w:iCs/>
          <w:color w:val="000000" w:themeColor="text1"/>
          <w:sz w:val="24"/>
          <w:szCs w:val="24"/>
        </w:rPr>
      </w:pPr>
      <w:bookmarkStart w:id="24" w:name="_Toc214982991"/>
      <w:r w:rsidRPr="27F64FDA">
        <w:rPr>
          <w:rFonts w:ascii="Times New Roman" w:eastAsia="Times New Roman" w:hAnsi="Times New Roman" w:cs="Times New Roman"/>
          <w:i/>
          <w:iCs/>
          <w:color w:val="auto"/>
          <w:sz w:val="24"/>
          <w:szCs w:val="24"/>
        </w:rPr>
        <w:t>M</w:t>
      </w:r>
      <w:r w:rsidR="00F66B0B" w:rsidRPr="27F64FDA">
        <w:rPr>
          <w:rFonts w:ascii="Times New Roman" w:eastAsia="Times New Roman" w:hAnsi="Times New Roman" w:cs="Times New Roman"/>
          <w:i/>
          <w:iCs/>
          <w:color w:val="auto"/>
          <w:sz w:val="24"/>
          <w:szCs w:val="24"/>
        </w:rPr>
        <w:t>ERCY HEALTH CENTER</w:t>
      </w:r>
      <w:bookmarkEnd w:id="24"/>
    </w:p>
    <w:p w14:paraId="25895DDA" w14:textId="34833155" w:rsidR="7499FE83" w:rsidRDefault="7499FE83" w:rsidP="27F64FDA">
      <w:pPr>
        <w:rPr>
          <w:rFonts w:ascii="Times New Roman" w:eastAsia="Times New Roman" w:hAnsi="Times New Roman" w:cs="Times New Roman"/>
        </w:rPr>
      </w:pPr>
      <w:r w:rsidRPr="27F64FDA">
        <w:rPr>
          <w:rFonts w:ascii="Times New Roman" w:eastAsia="Times New Roman" w:hAnsi="Times New Roman" w:cs="Times New Roman"/>
        </w:rPr>
        <w:t>700 Oglethorpe Ave C7, Athens, GA 30606</w:t>
      </w:r>
    </w:p>
    <w:p w14:paraId="5777C88C" w14:textId="75208A81" w:rsidR="7499FE83" w:rsidRDefault="7499FE83" w:rsidP="27F64FDA">
      <w:pPr>
        <w:rPr>
          <w:rFonts w:ascii="Times New Roman" w:eastAsia="Times New Roman" w:hAnsi="Times New Roman" w:cs="Times New Roman"/>
        </w:rPr>
      </w:pPr>
      <w:r w:rsidRPr="27F64FDA">
        <w:rPr>
          <w:rFonts w:ascii="Times New Roman" w:eastAsia="Times New Roman" w:hAnsi="Times New Roman" w:cs="Times New Roman"/>
        </w:rPr>
        <w:t>706-425-9445</w:t>
      </w:r>
    </w:p>
    <w:p w14:paraId="1CD899A6" w14:textId="13B92D6A" w:rsidR="7365CC3C" w:rsidRDefault="7365CC3C" w:rsidP="27F64FDA">
      <w:pPr>
        <w:pStyle w:val="NormalWeb"/>
        <w:spacing w:before="0" w:beforeAutospacing="0" w:after="0" w:afterAutospacing="0" w:line="276" w:lineRule="auto"/>
      </w:pPr>
      <w:r w:rsidRPr="27F64FDA">
        <w:t>Mercy Health Center is a faith-based nonprofit free clinic that provides high-quality medical, dental, pharmacy, and specialty care to uninsured adults living in Athens-Clarke County and the surrounding areas (Mercy Health Center, n.d.). The clinic offers a wide range of services, including primary medical care such as physical exams, women’s health services, and chronic disease management (Mercy Health Center, n.d.). For patients with emotional or psychological needs, the center offers mental health referrals and access to volunteer counselors who provide behavioral health support (Mercy Health Center, n.d.).</w:t>
      </w:r>
    </w:p>
    <w:p w14:paraId="4F1269FD" w14:textId="4E0919A1" w:rsidR="27F64FDA" w:rsidRDefault="27F64FDA" w:rsidP="27F64FDA">
      <w:pPr>
        <w:rPr>
          <w:rFonts w:ascii="Times New Roman" w:eastAsia="Times New Roman" w:hAnsi="Times New Roman" w:cs="Times New Roman"/>
        </w:rPr>
      </w:pPr>
    </w:p>
    <w:p w14:paraId="10BF7EB7" w14:textId="0FDD9F83" w:rsidR="00B0593F" w:rsidRDefault="00B0593F" w:rsidP="27F64FDA">
      <w:pPr>
        <w:pStyle w:val="Heading2"/>
        <w:rPr>
          <w:rFonts w:ascii="Times New Roman" w:eastAsia="Times New Roman" w:hAnsi="Times New Roman" w:cs="Times New Roman"/>
          <w:i/>
          <w:iCs/>
          <w:color w:val="000000" w:themeColor="text1"/>
          <w:sz w:val="24"/>
          <w:szCs w:val="24"/>
        </w:rPr>
      </w:pPr>
      <w:bookmarkStart w:id="25" w:name="_Toc214982992"/>
      <w:r w:rsidRPr="27F64FDA">
        <w:rPr>
          <w:rFonts w:ascii="Times New Roman" w:eastAsia="Times New Roman" w:hAnsi="Times New Roman" w:cs="Times New Roman"/>
          <w:i/>
          <w:iCs/>
          <w:color w:val="auto"/>
          <w:sz w:val="24"/>
          <w:szCs w:val="24"/>
        </w:rPr>
        <w:t>G</w:t>
      </w:r>
      <w:r w:rsidR="00F66B0B" w:rsidRPr="27F64FDA">
        <w:rPr>
          <w:rFonts w:ascii="Times New Roman" w:eastAsia="Times New Roman" w:hAnsi="Times New Roman" w:cs="Times New Roman"/>
          <w:i/>
          <w:iCs/>
          <w:color w:val="auto"/>
          <w:sz w:val="24"/>
          <w:szCs w:val="24"/>
        </w:rPr>
        <w:t>EORGIA PATHWAYS TO COVERAGE</w:t>
      </w:r>
      <w:bookmarkEnd w:id="25"/>
    </w:p>
    <w:p w14:paraId="082EE141" w14:textId="0D11F9A8" w:rsidR="00F66B0B" w:rsidRDefault="0C10627B" w:rsidP="27F64FDA">
      <w:pPr>
        <w:rPr>
          <w:rFonts w:ascii="Times New Roman" w:eastAsia="Times New Roman" w:hAnsi="Times New Roman" w:cs="Times New Roman"/>
        </w:rPr>
      </w:pPr>
      <w:r w:rsidRPr="27F64FDA">
        <w:rPr>
          <w:rFonts w:ascii="Times New Roman" w:eastAsia="Times New Roman" w:hAnsi="Times New Roman" w:cs="Times New Roman"/>
        </w:rPr>
        <w:t>2 Martin Luther King Jr. Drive SE East Tower, Atlanta, GA 30334</w:t>
      </w:r>
    </w:p>
    <w:p w14:paraId="45C277C5" w14:textId="29999948" w:rsidR="00F66B0B" w:rsidRDefault="0C10627B" w:rsidP="27F64FDA">
      <w:pPr>
        <w:rPr>
          <w:rFonts w:ascii="Times New Roman" w:eastAsia="Times New Roman" w:hAnsi="Times New Roman" w:cs="Times New Roman"/>
        </w:rPr>
      </w:pPr>
      <w:r w:rsidRPr="27F64FDA">
        <w:rPr>
          <w:rFonts w:ascii="Times New Roman" w:eastAsia="Times New Roman" w:hAnsi="Times New Roman" w:cs="Times New Roman"/>
        </w:rPr>
        <w:t>404-656-4507</w:t>
      </w:r>
    </w:p>
    <w:p w14:paraId="2D048F75" w14:textId="2A36DCDD" w:rsidR="00F66B0B" w:rsidRDefault="79778870" w:rsidP="27F64FDA">
      <w:pPr>
        <w:pStyle w:val="NormalWeb"/>
        <w:spacing w:before="0" w:beforeAutospacing="0" w:after="0" w:afterAutospacing="0" w:line="276" w:lineRule="auto"/>
      </w:pPr>
      <w:r w:rsidRPr="27F64FDA">
        <w:t xml:space="preserve">Georgia Pathways to Coverage (Medicaid Expansion Program) is a statewide initiative designed to provide affordable healthcare coverage to low-income adults in Georgia who are not otherwise eligible for traditional Medicaid (Georgia Department of Human Services, n.d.). The program offers access to primary care, mental health services, prescriptions, and hospital care for adults between the ages of 19 and 64 who meet specific income and activity requirements. </w:t>
      </w:r>
    </w:p>
    <w:p w14:paraId="2253C8AB" w14:textId="0962D208" w:rsidR="00B0593F" w:rsidRPr="00560084" w:rsidRDefault="00B0593F" w:rsidP="39EAD406">
      <w:pPr>
        <w:rPr>
          <w:rFonts w:ascii="Times New Roman" w:eastAsia="Times New Roman" w:hAnsi="Times New Roman" w:cs="Times New Roman"/>
        </w:rPr>
      </w:pPr>
    </w:p>
    <w:p w14:paraId="4681E294" w14:textId="3959FB0E" w:rsidR="00B0593F" w:rsidRPr="003D36DC" w:rsidRDefault="00107D58" w:rsidP="003D36DC">
      <w:pPr>
        <w:pStyle w:val="Heading1"/>
        <w:rPr>
          <w:rFonts w:ascii="Times New Roman" w:hAnsi="Times New Roman" w:cs="Times New Roman"/>
          <w:b/>
          <w:bCs/>
          <w:color w:val="000000" w:themeColor="text1"/>
          <w:sz w:val="28"/>
          <w:szCs w:val="28"/>
        </w:rPr>
      </w:pPr>
      <w:bookmarkStart w:id="26" w:name="_Toc214982993"/>
      <w:r w:rsidRPr="003D36DC">
        <w:rPr>
          <w:rFonts w:ascii="Times New Roman" w:hAnsi="Times New Roman" w:cs="Times New Roman"/>
          <w:b/>
          <w:bCs/>
          <w:color w:val="000000" w:themeColor="text1"/>
          <w:sz w:val="28"/>
          <w:szCs w:val="28"/>
        </w:rPr>
        <w:t>Personal Reflections</w:t>
      </w:r>
      <w:bookmarkEnd w:id="26"/>
    </w:p>
    <w:p w14:paraId="7209EBA0" w14:textId="732EE4EF" w:rsidR="00107D58" w:rsidRPr="00107D58" w:rsidRDefault="00107D58" w:rsidP="27F64FDA">
      <w:pPr>
        <w:pStyle w:val="Heading2"/>
        <w:rPr>
          <w:rFonts w:ascii="Times New Roman" w:hAnsi="Times New Roman" w:cs="Times New Roman"/>
          <w:i/>
          <w:iCs/>
          <w:color w:val="000000" w:themeColor="text1"/>
          <w:sz w:val="24"/>
          <w:szCs w:val="24"/>
        </w:rPr>
      </w:pPr>
      <w:bookmarkStart w:id="27" w:name="_Toc214982994"/>
      <w:r w:rsidRPr="27F64FDA">
        <w:rPr>
          <w:rFonts w:ascii="Times New Roman" w:hAnsi="Times New Roman" w:cs="Times New Roman"/>
          <w:i/>
          <w:iCs/>
          <w:color w:val="000000" w:themeColor="text1"/>
          <w:sz w:val="24"/>
          <w:szCs w:val="24"/>
        </w:rPr>
        <w:t>Avery</w:t>
      </w:r>
      <w:bookmarkEnd w:id="27"/>
    </w:p>
    <w:p w14:paraId="0E953EE0" w14:textId="40A3D0DA" w:rsidR="564D190A" w:rsidRDefault="564D190A" w:rsidP="00F18318">
      <w:pPr>
        <w:ind w:firstLine="720"/>
        <w:rPr>
          <w:rFonts w:ascii="Times New Roman" w:eastAsia="Times New Roman" w:hAnsi="Times New Roman" w:cs="Times New Roman"/>
        </w:rPr>
      </w:pPr>
      <w:r w:rsidRPr="27F64FDA">
        <w:rPr>
          <w:rFonts w:ascii="Times New Roman" w:eastAsia="Times New Roman" w:hAnsi="Times New Roman" w:cs="Times New Roman"/>
        </w:rPr>
        <w:t xml:space="preserve">Through creating this community assessment for our case study, I gained </w:t>
      </w:r>
      <w:r w:rsidR="179821FE" w:rsidRPr="27F64FDA">
        <w:rPr>
          <w:rFonts w:ascii="Times New Roman" w:eastAsia="Times New Roman" w:hAnsi="Times New Roman" w:cs="Times New Roman"/>
        </w:rPr>
        <w:t>a much deeper</w:t>
      </w:r>
      <w:r w:rsidRPr="27F64FDA">
        <w:rPr>
          <w:rFonts w:ascii="Times New Roman" w:eastAsia="Times New Roman" w:hAnsi="Times New Roman" w:cs="Times New Roman"/>
        </w:rPr>
        <w:t xml:space="preserve"> understanding of the resources available to BPD patients and IPV survivors in Athens, GA.</w:t>
      </w:r>
      <w:r w:rsidR="35B9AE33" w:rsidRPr="27F64FDA">
        <w:rPr>
          <w:rFonts w:ascii="Times New Roman" w:eastAsia="Times New Roman" w:hAnsi="Times New Roman" w:cs="Times New Roman"/>
        </w:rPr>
        <w:t xml:space="preserve"> </w:t>
      </w:r>
      <w:r w:rsidR="1F838927" w:rsidRPr="27F64FDA">
        <w:rPr>
          <w:rFonts w:ascii="Times New Roman" w:eastAsia="Times New Roman" w:hAnsi="Times New Roman" w:cs="Times New Roman"/>
        </w:rPr>
        <w:t xml:space="preserve">I learned that Athens has several strong programs and agencies to support survivors of IPV, but not as many geared towards supporting those struggling with mental health. </w:t>
      </w:r>
      <w:r w:rsidR="35B9AE33" w:rsidRPr="27F64FDA">
        <w:rPr>
          <w:rFonts w:ascii="Times New Roman" w:eastAsia="Times New Roman" w:hAnsi="Times New Roman" w:cs="Times New Roman"/>
        </w:rPr>
        <w:t>As someone who has</w:t>
      </w:r>
      <w:r w:rsidR="6041BA4F" w:rsidRPr="27F64FDA">
        <w:rPr>
          <w:rFonts w:ascii="Times New Roman" w:eastAsia="Times New Roman" w:hAnsi="Times New Roman" w:cs="Times New Roman"/>
        </w:rPr>
        <w:t xml:space="preserve"> a family history of</w:t>
      </w:r>
      <w:r w:rsidR="35B9AE33" w:rsidRPr="27F64FDA">
        <w:rPr>
          <w:rFonts w:ascii="Times New Roman" w:eastAsia="Times New Roman" w:hAnsi="Times New Roman" w:cs="Times New Roman"/>
        </w:rPr>
        <w:t xml:space="preserve"> bipolar disorder and other mental </w:t>
      </w:r>
      <w:r w:rsidR="2DEF471B" w:rsidRPr="27F64FDA">
        <w:rPr>
          <w:rFonts w:ascii="Times New Roman" w:eastAsia="Times New Roman" w:hAnsi="Times New Roman" w:cs="Times New Roman"/>
        </w:rPr>
        <w:t xml:space="preserve">health </w:t>
      </w:r>
      <w:r w:rsidR="35B9AE33" w:rsidRPr="27F64FDA">
        <w:rPr>
          <w:rFonts w:ascii="Times New Roman" w:eastAsia="Times New Roman" w:hAnsi="Times New Roman" w:cs="Times New Roman"/>
        </w:rPr>
        <w:t xml:space="preserve">conditions, </w:t>
      </w:r>
      <w:r w:rsidR="5905FDC9" w:rsidRPr="27F64FDA">
        <w:rPr>
          <w:rFonts w:ascii="Times New Roman" w:eastAsia="Times New Roman" w:hAnsi="Times New Roman" w:cs="Times New Roman"/>
        </w:rPr>
        <w:t>this situation was very personal</w:t>
      </w:r>
      <w:r w:rsidR="35B9AE33" w:rsidRPr="27F64FDA">
        <w:rPr>
          <w:rFonts w:ascii="Times New Roman" w:eastAsia="Times New Roman" w:hAnsi="Times New Roman" w:cs="Times New Roman"/>
        </w:rPr>
        <w:t xml:space="preserve">. </w:t>
      </w:r>
      <w:r w:rsidR="1AA9ECDC" w:rsidRPr="27F64FDA">
        <w:rPr>
          <w:rFonts w:ascii="Times New Roman" w:eastAsia="Times New Roman" w:hAnsi="Times New Roman" w:cs="Times New Roman"/>
        </w:rPr>
        <w:t>I realized how impor</w:t>
      </w:r>
      <w:r w:rsidR="141C0F5E" w:rsidRPr="27F64FDA">
        <w:rPr>
          <w:rFonts w:ascii="Times New Roman" w:eastAsia="Times New Roman" w:hAnsi="Times New Roman" w:cs="Times New Roman"/>
        </w:rPr>
        <w:t>tant it is to become knowledgeable about what resources exist, but also to understand the barriers that prevent individuals from accessing them.</w:t>
      </w:r>
    </w:p>
    <w:p w14:paraId="390AC56F" w14:textId="238E4BD2" w:rsidR="10C2BE8A" w:rsidRDefault="10C2BE8A" w:rsidP="00F18318">
      <w:pPr>
        <w:ind w:firstLine="720"/>
        <w:rPr>
          <w:rFonts w:ascii="Times New Roman" w:eastAsia="Times New Roman" w:hAnsi="Times New Roman" w:cs="Times New Roman"/>
        </w:rPr>
      </w:pPr>
      <w:r w:rsidRPr="27F64FDA">
        <w:rPr>
          <w:rFonts w:ascii="Times New Roman" w:eastAsia="Times New Roman" w:hAnsi="Times New Roman" w:cs="Times New Roman"/>
        </w:rPr>
        <w:t>Completing this paper, we encountered various issues, ranging from challenges finding information, cost barriers, limited appointments, and long di</w:t>
      </w:r>
      <w:r w:rsidR="60905047" w:rsidRPr="27F64FDA">
        <w:rPr>
          <w:rFonts w:ascii="Times New Roman" w:eastAsia="Times New Roman" w:hAnsi="Times New Roman" w:cs="Times New Roman"/>
        </w:rPr>
        <w:t>stances. For individuals like Jessica in our case study, these barriers make accessing care so much more difficult and can become very taxing on one’s mental health. We also discovered gaps in insurance coverage, especiall for those who do not qualify for Medicare/Medicai</w:t>
      </w:r>
      <w:r w:rsidR="50CFCF7A" w:rsidRPr="27F64FDA">
        <w:rPr>
          <w:rFonts w:ascii="Times New Roman" w:eastAsia="Times New Roman" w:hAnsi="Times New Roman" w:cs="Times New Roman"/>
        </w:rPr>
        <w:t xml:space="preserve">d but still cannot afford out-of-pocket costs. Learning this was extremely frustrating because, as public health students, we are taught to build systems that support people. Yet the systems currently in place often exclude those who need help the most. </w:t>
      </w:r>
      <w:r w:rsidR="47E1C4AA" w:rsidRPr="27F64FDA">
        <w:rPr>
          <w:rFonts w:ascii="Times New Roman" w:eastAsia="Times New Roman" w:hAnsi="Times New Roman" w:cs="Times New Roman"/>
        </w:rPr>
        <w:t xml:space="preserve">This matters because access issues directly affect health outcomes. Understanding the failures of current systems impacted the way I think about community health strategies and the role of public health professionals. Going forward, I hope to become more aware and critical of the accessibility of local resources. This </w:t>
      </w:r>
      <w:r w:rsidR="182815BD" w:rsidRPr="27F64FDA">
        <w:rPr>
          <w:rFonts w:ascii="Times New Roman" w:eastAsia="Times New Roman" w:hAnsi="Times New Roman" w:cs="Times New Roman"/>
        </w:rPr>
        <w:t xml:space="preserve">project reinforces the idea that “knowing” about resources is not enough, as we need to consider deeper factors like cost, location, availability, and equity. </w:t>
      </w:r>
    </w:p>
    <w:p w14:paraId="621D9015" w14:textId="0359BB21" w:rsidR="00107D58" w:rsidRPr="00107D58" w:rsidRDefault="00107D58" w:rsidP="27F64FDA">
      <w:pPr>
        <w:pStyle w:val="Heading2"/>
        <w:rPr>
          <w:rFonts w:ascii="Times New Roman" w:hAnsi="Times New Roman" w:cs="Times New Roman"/>
          <w:i/>
          <w:iCs/>
          <w:color w:val="000000" w:themeColor="text1"/>
          <w:sz w:val="24"/>
          <w:szCs w:val="24"/>
        </w:rPr>
      </w:pPr>
      <w:bookmarkStart w:id="28" w:name="_Toc214982995"/>
      <w:r w:rsidRPr="27F64FDA">
        <w:rPr>
          <w:rFonts w:ascii="Times New Roman" w:hAnsi="Times New Roman" w:cs="Times New Roman"/>
          <w:i/>
          <w:iCs/>
          <w:color w:val="000000" w:themeColor="text1"/>
          <w:sz w:val="24"/>
          <w:szCs w:val="24"/>
        </w:rPr>
        <w:t>Jaiden</w:t>
      </w:r>
      <w:bookmarkEnd w:id="28"/>
    </w:p>
    <w:p w14:paraId="0D0755F3" w14:textId="586ED84C" w:rsidR="2F9AE42F" w:rsidRDefault="6583ACD2" w:rsidP="00F18318">
      <w:pPr>
        <w:rPr>
          <w:rFonts w:ascii="Times New Roman" w:eastAsia="Times New Roman" w:hAnsi="Times New Roman" w:cs="Times New Roman"/>
        </w:rPr>
      </w:pPr>
      <w:r w:rsidRPr="00F18318">
        <w:rPr>
          <w:rFonts w:ascii="Times New Roman" w:eastAsia="Times New Roman" w:hAnsi="Times New Roman" w:cs="Times New Roman"/>
        </w:rPr>
        <w:t xml:space="preserve">Throughout this project, I was struck by how often health issues that are not physically visible may be overlooked, minimized, or misunderstood. </w:t>
      </w:r>
      <w:r w:rsidR="4FE641F6" w:rsidRPr="00F18318">
        <w:rPr>
          <w:rFonts w:ascii="Times New Roman" w:eastAsia="Times New Roman" w:hAnsi="Times New Roman" w:cs="Times New Roman"/>
        </w:rPr>
        <w:t>Conditions</w:t>
      </w:r>
      <w:r w:rsidRPr="00F18318">
        <w:rPr>
          <w:rFonts w:ascii="Times New Roman" w:eastAsia="Times New Roman" w:hAnsi="Times New Roman" w:cs="Times New Roman"/>
        </w:rPr>
        <w:t xml:space="preserve"> like bipolar disorder or the psychological impacts of </w:t>
      </w:r>
      <w:r w:rsidR="2D2DE3E1" w:rsidRPr="00F18318">
        <w:rPr>
          <w:rFonts w:ascii="Times New Roman" w:eastAsia="Times New Roman" w:hAnsi="Times New Roman" w:cs="Times New Roman"/>
        </w:rPr>
        <w:t>intimate</w:t>
      </w:r>
      <w:r w:rsidR="69E4A160" w:rsidRPr="00F18318">
        <w:rPr>
          <w:rFonts w:ascii="Times New Roman" w:eastAsia="Times New Roman" w:hAnsi="Times New Roman" w:cs="Times New Roman"/>
        </w:rPr>
        <w:t xml:space="preserve"> partner violence do not </w:t>
      </w:r>
      <w:r w:rsidR="6F8B93B4" w:rsidRPr="00F18318">
        <w:rPr>
          <w:rFonts w:ascii="Times New Roman" w:eastAsia="Times New Roman" w:hAnsi="Times New Roman" w:cs="Times New Roman"/>
        </w:rPr>
        <w:t>always</w:t>
      </w:r>
      <w:r w:rsidR="69E4A160" w:rsidRPr="00F18318">
        <w:rPr>
          <w:rFonts w:ascii="Times New Roman" w:eastAsia="Times New Roman" w:hAnsi="Times New Roman" w:cs="Times New Roman"/>
        </w:rPr>
        <w:t xml:space="preserve"> </w:t>
      </w:r>
      <w:r w:rsidR="06459A1B" w:rsidRPr="00F18318">
        <w:rPr>
          <w:rFonts w:ascii="Times New Roman" w:eastAsia="Times New Roman" w:hAnsi="Times New Roman" w:cs="Times New Roman"/>
        </w:rPr>
        <w:t xml:space="preserve">present in obvious or measurable ways, yet they can be just as debilitating as physical illnesses. </w:t>
      </w:r>
      <w:r w:rsidR="5D0DA571" w:rsidRPr="00F18318">
        <w:rPr>
          <w:rFonts w:ascii="Times New Roman" w:eastAsia="Times New Roman" w:hAnsi="Times New Roman" w:cs="Times New Roman"/>
        </w:rPr>
        <w:t>Writing</w:t>
      </w:r>
      <w:r w:rsidR="06459A1B" w:rsidRPr="00F18318">
        <w:rPr>
          <w:rFonts w:ascii="Times New Roman" w:eastAsia="Times New Roman" w:hAnsi="Times New Roman" w:cs="Times New Roman"/>
        </w:rPr>
        <w:t xml:space="preserve"> this paper pushed me to recognize how deepl</w:t>
      </w:r>
      <w:r w:rsidR="2F996299" w:rsidRPr="00F18318">
        <w:rPr>
          <w:rFonts w:ascii="Times New Roman" w:eastAsia="Times New Roman" w:hAnsi="Times New Roman" w:cs="Times New Roman"/>
        </w:rPr>
        <w:t>y these invisible experiences affect individuals’ overall well-being. It also reinforced the im</w:t>
      </w:r>
      <w:r w:rsidR="0E56F7F0" w:rsidRPr="00F18318">
        <w:rPr>
          <w:rFonts w:ascii="Times New Roman" w:eastAsia="Times New Roman" w:hAnsi="Times New Roman" w:cs="Times New Roman"/>
        </w:rPr>
        <w:t>portanc</w:t>
      </w:r>
      <w:r w:rsidR="47EDB41C" w:rsidRPr="00F18318">
        <w:rPr>
          <w:rFonts w:ascii="Times New Roman" w:eastAsia="Times New Roman" w:hAnsi="Times New Roman" w:cs="Times New Roman"/>
        </w:rPr>
        <w:t>e of</w:t>
      </w:r>
      <w:r w:rsidR="2F996299" w:rsidRPr="00F18318">
        <w:rPr>
          <w:rFonts w:ascii="Times New Roman" w:eastAsia="Times New Roman" w:hAnsi="Times New Roman" w:cs="Times New Roman"/>
        </w:rPr>
        <w:t xml:space="preserve"> providers </w:t>
      </w:r>
      <w:r w:rsidR="3D921CBE" w:rsidRPr="00F18318">
        <w:rPr>
          <w:rFonts w:ascii="Times New Roman" w:eastAsia="Times New Roman" w:hAnsi="Times New Roman" w:cs="Times New Roman"/>
        </w:rPr>
        <w:t>looking</w:t>
      </w:r>
      <w:r w:rsidR="2F996299" w:rsidRPr="00F18318">
        <w:rPr>
          <w:rFonts w:ascii="Times New Roman" w:eastAsia="Times New Roman" w:hAnsi="Times New Roman" w:cs="Times New Roman"/>
        </w:rPr>
        <w:t xml:space="preserve"> beyond what is immediately visible when assessing a patien</w:t>
      </w:r>
      <w:r w:rsidR="09398171" w:rsidRPr="00F18318">
        <w:rPr>
          <w:rFonts w:ascii="Times New Roman" w:eastAsia="Times New Roman" w:hAnsi="Times New Roman" w:cs="Times New Roman"/>
        </w:rPr>
        <w:t>t’s health.</w:t>
      </w:r>
    </w:p>
    <w:p w14:paraId="09D9033B" w14:textId="5C56734A" w:rsidR="7431AD58" w:rsidRDefault="7431AD58" w:rsidP="00F18318">
      <w:pPr>
        <w:rPr>
          <w:rFonts w:ascii="Times New Roman" w:eastAsia="Times New Roman" w:hAnsi="Times New Roman" w:cs="Times New Roman"/>
        </w:rPr>
      </w:pPr>
      <w:r w:rsidRPr="00F18318">
        <w:rPr>
          <w:rFonts w:ascii="Times New Roman" w:eastAsia="Times New Roman" w:hAnsi="Times New Roman" w:cs="Times New Roman"/>
        </w:rPr>
        <w:t xml:space="preserve">Another major takeaway was the role that economic empowerment plays in both mental health recovery and freedom from IPV. I had not previously realized how closely financial stability is tied to safety, independence, and healing. </w:t>
      </w:r>
      <w:r w:rsidR="69DE696F" w:rsidRPr="00F18318">
        <w:rPr>
          <w:rFonts w:ascii="Times New Roman" w:eastAsia="Times New Roman" w:hAnsi="Times New Roman" w:cs="Times New Roman"/>
        </w:rPr>
        <w:t>Discovering programs</w:t>
      </w:r>
      <w:r w:rsidR="3686C020" w:rsidRPr="00F18318">
        <w:rPr>
          <w:rFonts w:ascii="Times New Roman" w:eastAsia="Times New Roman" w:hAnsi="Times New Roman" w:cs="Times New Roman"/>
        </w:rPr>
        <w:t>,</w:t>
      </w:r>
      <w:r w:rsidR="69DE696F" w:rsidRPr="00F18318">
        <w:rPr>
          <w:rFonts w:ascii="Times New Roman" w:eastAsia="Times New Roman" w:hAnsi="Times New Roman" w:cs="Times New Roman"/>
        </w:rPr>
        <w:t xml:space="preserve"> </w:t>
      </w:r>
      <w:r w:rsidR="4DB73034" w:rsidRPr="00F18318">
        <w:rPr>
          <w:rFonts w:ascii="Times New Roman" w:eastAsia="Times New Roman" w:hAnsi="Times New Roman" w:cs="Times New Roman"/>
        </w:rPr>
        <w:t>specifically designed for women,</w:t>
      </w:r>
      <w:r w:rsidR="1EA12A04" w:rsidRPr="00F18318">
        <w:rPr>
          <w:rFonts w:ascii="Times New Roman" w:eastAsia="Times New Roman" w:hAnsi="Times New Roman" w:cs="Times New Roman"/>
        </w:rPr>
        <w:t xml:space="preserve"> </w:t>
      </w:r>
      <w:r w:rsidR="69DE696F" w:rsidRPr="00F18318">
        <w:rPr>
          <w:rFonts w:ascii="Times New Roman" w:eastAsia="Times New Roman" w:hAnsi="Times New Roman" w:cs="Times New Roman"/>
        </w:rPr>
        <w:t>that offer financial literacy education, job training, and economic mentorship</w:t>
      </w:r>
      <w:r w:rsidR="3FB966CF" w:rsidRPr="00F18318">
        <w:rPr>
          <w:rFonts w:ascii="Times New Roman" w:eastAsia="Times New Roman" w:hAnsi="Times New Roman" w:cs="Times New Roman"/>
        </w:rPr>
        <w:t xml:space="preserve"> </w:t>
      </w:r>
      <w:r w:rsidR="69DE696F" w:rsidRPr="00F18318">
        <w:rPr>
          <w:rFonts w:ascii="Times New Roman" w:eastAsia="Times New Roman" w:hAnsi="Times New Roman" w:cs="Times New Roman"/>
        </w:rPr>
        <w:t>was particularly eye-opening.</w:t>
      </w:r>
      <w:r w:rsidR="7675699B" w:rsidRPr="00F18318">
        <w:rPr>
          <w:rFonts w:ascii="Times New Roman" w:eastAsia="Times New Roman" w:hAnsi="Times New Roman" w:cs="Times New Roman"/>
        </w:rPr>
        <w:t xml:space="preserve"> These approaches show that supporting survivors means more than treating emotional or physical wounds. It also requires giving those </w:t>
      </w:r>
      <w:r w:rsidR="34F0A8E4" w:rsidRPr="00F18318">
        <w:rPr>
          <w:rFonts w:ascii="Times New Roman" w:eastAsia="Times New Roman" w:hAnsi="Times New Roman" w:cs="Times New Roman"/>
        </w:rPr>
        <w:t>tools</w:t>
      </w:r>
      <w:r w:rsidR="7675699B" w:rsidRPr="00F18318">
        <w:rPr>
          <w:rFonts w:ascii="Times New Roman" w:eastAsia="Times New Roman" w:hAnsi="Times New Roman" w:cs="Times New Roman"/>
        </w:rPr>
        <w:t xml:space="preserve"> needed to rebuild secure and self-su</w:t>
      </w:r>
      <w:r w:rsidR="47DEC755" w:rsidRPr="00F18318">
        <w:rPr>
          <w:rFonts w:ascii="Times New Roman" w:eastAsia="Times New Roman" w:hAnsi="Times New Roman" w:cs="Times New Roman"/>
        </w:rPr>
        <w:t>fficien</w:t>
      </w:r>
      <w:r w:rsidR="7675699B" w:rsidRPr="00F18318">
        <w:rPr>
          <w:rFonts w:ascii="Times New Roman" w:eastAsia="Times New Roman" w:hAnsi="Times New Roman" w:cs="Times New Roman"/>
        </w:rPr>
        <w:t>t lives.</w:t>
      </w:r>
    </w:p>
    <w:p w14:paraId="5FC1046B" w14:textId="5BE0524F" w:rsidR="545932A1" w:rsidRDefault="545932A1" w:rsidP="00F18318">
      <w:pPr>
        <w:rPr>
          <w:rFonts w:ascii="Times New Roman" w:eastAsia="Times New Roman" w:hAnsi="Times New Roman" w:cs="Times New Roman"/>
        </w:rPr>
      </w:pPr>
      <w:r w:rsidRPr="00F18318">
        <w:rPr>
          <w:rFonts w:ascii="Times New Roman" w:eastAsia="Times New Roman" w:hAnsi="Times New Roman" w:cs="Times New Roman"/>
        </w:rPr>
        <w:t xml:space="preserve">Overall, this project broadened my understanding of health promotion and the interconnected layers that shape a person’s well-being. It made clear that meaningful recovery requires addressing psychological, social, and </w:t>
      </w:r>
      <w:r w:rsidR="491262B4" w:rsidRPr="00F18318">
        <w:rPr>
          <w:rFonts w:ascii="Times New Roman" w:eastAsia="Times New Roman" w:hAnsi="Times New Roman" w:cs="Times New Roman"/>
        </w:rPr>
        <w:t>economic</w:t>
      </w:r>
      <w:r w:rsidRPr="00F18318">
        <w:rPr>
          <w:rFonts w:ascii="Times New Roman" w:eastAsia="Times New Roman" w:hAnsi="Times New Roman" w:cs="Times New Roman"/>
        </w:rPr>
        <w:t xml:space="preserve"> needs</w:t>
      </w:r>
      <w:r w:rsidR="15B3BE93" w:rsidRPr="00F18318">
        <w:rPr>
          <w:rFonts w:ascii="Times New Roman" w:eastAsia="Times New Roman" w:hAnsi="Times New Roman" w:cs="Times New Roman"/>
        </w:rPr>
        <w:t xml:space="preserve">, not just medical ones. Moving forward, I feel more aware of the hidden challenges individuals face and </w:t>
      </w:r>
      <w:r w:rsidR="4076865D" w:rsidRPr="00F18318">
        <w:rPr>
          <w:rFonts w:ascii="Times New Roman" w:eastAsia="Times New Roman" w:hAnsi="Times New Roman" w:cs="Times New Roman"/>
        </w:rPr>
        <w:t xml:space="preserve">further committed to </w:t>
      </w:r>
      <w:bookmarkStart w:id="29" w:name="_Int_8BpJuCTS"/>
      <w:r w:rsidR="4076865D" w:rsidRPr="00F18318">
        <w:rPr>
          <w:rFonts w:ascii="Times New Roman" w:eastAsia="Times New Roman" w:hAnsi="Times New Roman" w:cs="Times New Roman"/>
        </w:rPr>
        <w:t>advocating for</w:t>
      </w:r>
      <w:bookmarkEnd w:id="29"/>
      <w:r w:rsidR="4076865D" w:rsidRPr="00F18318">
        <w:rPr>
          <w:rFonts w:ascii="Times New Roman" w:eastAsia="Times New Roman" w:hAnsi="Times New Roman" w:cs="Times New Roman"/>
        </w:rPr>
        <w:t xml:space="preserve"> holistic, trauma-informed, and equity-based approaches in health care. </w:t>
      </w:r>
      <w:r w:rsidR="5859A55C" w:rsidRPr="00F18318">
        <w:rPr>
          <w:rFonts w:ascii="Times New Roman" w:eastAsia="Times New Roman" w:hAnsi="Times New Roman" w:cs="Times New Roman"/>
        </w:rPr>
        <w:t xml:space="preserve">I now appreciate how comprehensive support systems can transform long-term outcomes, especially for people navigating complex mental and social challenges. </w:t>
      </w:r>
    </w:p>
    <w:p w14:paraId="7423CF6D" w14:textId="1BA392DE" w:rsidR="00107D58" w:rsidRPr="00107D58" w:rsidRDefault="00107D58" w:rsidP="27F64FDA">
      <w:pPr>
        <w:pStyle w:val="Heading2"/>
        <w:rPr>
          <w:rFonts w:ascii="Times New Roman" w:hAnsi="Times New Roman" w:cs="Times New Roman"/>
          <w:i/>
          <w:iCs/>
          <w:color w:val="000000" w:themeColor="text1"/>
          <w:sz w:val="24"/>
          <w:szCs w:val="24"/>
        </w:rPr>
      </w:pPr>
      <w:bookmarkStart w:id="30" w:name="_Toc214982996"/>
      <w:r w:rsidRPr="27F64FDA">
        <w:rPr>
          <w:rFonts w:ascii="Times New Roman" w:hAnsi="Times New Roman" w:cs="Times New Roman"/>
          <w:i/>
          <w:iCs/>
          <w:color w:val="000000" w:themeColor="text1"/>
          <w:sz w:val="24"/>
          <w:szCs w:val="24"/>
        </w:rPr>
        <w:t>Greha</w:t>
      </w:r>
      <w:bookmarkEnd w:id="30"/>
    </w:p>
    <w:p w14:paraId="4A377FE3" w14:textId="2D328F96" w:rsidR="67A2F66A" w:rsidRDefault="67A2F66A" w:rsidP="00F18318">
      <w:pPr>
        <w:rPr>
          <w:rFonts w:ascii="Times New Roman" w:eastAsia="Times New Roman" w:hAnsi="Times New Roman" w:cs="Times New Roman"/>
        </w:rPr>
      </w:pPr>
      <w:r w:rsidRPr="00F18318">
        <w:rPr>
          <w:rFonts w:ascii="Times New Roman" w:eastAsia="Times New Roman" w:hAnsi="Times New Roman" w:cs="Times New Roman"/>
        </w:rPr>
        <w:t>Working on this community assessment helped me see how complicated it truly is for someone to navigate not only IPV resources, but also mental health care in Athens, Georgia. Before this project, I did n</w:t>
      </w:r>
      <w:r w:rsidR="41D35CAC" w:rsidRPr="00F18318">
        <w:rPr>
          <w:rFonts w:ascii="Times New Roman" w:eastAsia="Times New Roman" w:hAnsi="Times New Roman" w:cs="Times New Roman"/>
        </w:rPr>
        <w:t xml:space="preserve">ot </w:t>
      </w:r>
      <w:r w:rsidR="378B1FBB" w:rsidRPr="00F18318">
        <w:rPr>
          <w:rFonts w:ascii="Times New Roman" w:eastAsia="Times New Roman" w:hAnsi="Times New Roman" w:cs="Times New Roman"/>
        </w:rPr>
        <w:t>realize</w:t>
      </w:r>
      <w:r w:rsidR="41D35CAC" w:rsidRPr="00F18318">
        <w:rPr>
          <w:rFonts w:ascii="Times New Roman" w:eastAsia="Times New Roman" w:hAnsi="Times New Roman" w:cs="Times New Roman"/>
        </w:rPr>
        <w:t xml:space="preserve"> how </w:t>
      </w:r>
      <w:r w:rsidR="315A54C7" w:rsidRPr="00F18318">
        <w:rPr>
          <w:rFonts w:ascii="Times New Roman" w:eastAsia="Times New Roman" w:hAnsi="Times New Roman" w:cs="Times New Roman"/>
        </w:rPr>
        <w:t>many</w:t>
      </w:r>
      <w:r w:rsidR="41D35CAC" w:rsidRPr="00F18318">
        <w:rPr>
          <w:rFonts w:ascii="Times New Roman" w:eastAsia="Times New Roman" w:hAnsi="Times New Roman" w:cs="Times New Roman"/>
        </w:rPr>
        <w:t xml:space="preserve"> barriers exist even when services technically “exist.” While gathering information, I kept running into missing details, broken links, unclear pricing, and limited information about how </w:t>
      </w:r>
      <w:r w:rsidR="16E73E24" w:rsidRPr="00F18318">
        <w:rPr>
          <w:rFonts w:ascii="Times New Roman" w:eastAsia="Times New Roman" w:hAnsi="Times New Roman" w:cs="Times New Roman"/>
        </w:rPr>
        <w:t>people</w:t>
      </w:r>
      <w:r w:rsidR="41D35CAC" w:rsidRPr="00F18318">
        <w:rPr>
          <w:rFonts w:ascii="Times New Roman" w:eastAsia="Times New Roman" w:hAnsi="Times New Roman" w:cs="Times New Roman"/>
        </w:rPr>
        <w:t xml:space="preserve"> without insurance can get care. It made me think a</w:t>
      </w:r>
      <w:r w:rsidR="313835CC" w:rsidRPr="00F18318">
        <w:rPr>
          <w:rFonts w:ascii="Times New Roman" w:eastAsia="Times New Roman" w:hAnsi="Times New Roman" w:cs="Times New Roman"/>
        </w:rPr>
        <w:t xml:space="preserve">bout how frustrating and overwhelming this process must be for someone who is already dealing with bipolar symptoms, financial stress, or abusive relationships. </w:t>
      </w:r>
    </w:p>
    <w:p w14:paraId="7B832C1C" w14:textId="0A7B8F6B" w:rsidR="4C8CEA28" w:rsidRDefault="4C8CEA28" w:rsidP="00F18318">
      <w:pPr>
        <w:rPr>
          <w:rFonts w:ascii="Times New Roman" w:eastAsia="Times New Roman" w:hAnsi="Times New Roman" w:cs="Times New Roman"/>
        </w:rPr>
      </w:pPr>
      <w:r w:rsidRPr="00F18318">
        <w:rPr>
          <w:rFonts w:ascii="Times New Roman" w:eastAsia="Times New Roman" w:hAnsi="Times New Roman" w:cs="Times New Roman"/>
        </w:rPr>
        <w:t xml:space="preserve">One thing that stood out to me was how uneven our community resources are. There are strong programs for IPV surviviors, but when it comes to bipolar disorder and long-term mental health support, the options become a lot more limited or harder to access. I also </w:t>
      </w:r>
      <w:r w:rsidR="4798B581" w:rsidRPr="00F18318">
        <w:rPr>
          <w:rFonts w:ascii="Times New Roman" w:eastAsia="Times New Roman" w:hAnsi="Times New Roman" w:cs="Times New Roman"/>
        </w:rPr>
        <w:t>notice</w:t>
      </w:r>
      <w:r w:rsidRPr="00F18318">
        <w:rPr>
          <w:rFonts w:ascii="Times New Roman" w:eastAsia="Times New Roman" w:hAnsi="Times New Roman" w:cs="Times New Roman"/>
        </w:rPr>
        <w:t xml:space="preserve"> </w:t>
      </w:r>
      <w:r w:rsidR="6342024E" w:rsidRPr="00F18318">
        <w:rPr>
          <w:rFonts w:ascii="Times New Roman" w:eastAsia="Times New Roman" w:hAnsi="Times New Roman" w:cs="Times New Roman"/>
        </w:rPr>
        <w:t xml:space="preserve">how simple things, such as transportation, cost, or wait times, can basically make or break someone’s ability to get help. Even with stable internet and a </w:t>
      </w:r>
      <w:r w:rsidR="6B65A76E" w:rsidRPr="00F18318">
        <w:rPr>
          <w:rFonts w:ascii="Times New Roman" w:eastAsia="Times New Roman" w:hAnsi="Times New Roman" w:cs="Times New Roman"/>
        </w:rPr>
        <w:t>laptop</w:t>
      </w:r>
      <w:r w:rsidR="6342024E" w:rsidRPr="00F18318">
        <w:rPr>
          <w:rFonts w:ascii="Times New Roman" w:eastAsia="Times New Roman" w:hAnsi="Times New Roman" w:cs="Times New Roman"/>
        </w:rPr>
        <w:t xml:space="preserve">, I had a hard time finding complete information. It made me think about how someone with fewer </w:t>
      </w:r>
      <w:r w:rsidR="07415AD7" w:rsidRPr="00F18318">
        <w:rPr>
          <w:rFonts w:ascii="Times New Roman" w:eastAsia="Times New Roman" w:hAnsi="Times New Roman" w:cs="Times New Roman"/>
        </w:rPr>
        <w:t xml:space="preserve">resources or higher stress levels would probably struggle even more. </w:t>
      </w:r>
    </w:p>
    <w:p w14:paraId="6E60587A" w14:textId="4E77123B" w:rsidR="5A0AF468" w:rsidRDefault="5A0AF468" w:rsidP="00F18318">
      <w:pPr>
        <w:rPr>
          <w:rFonts w:ascii="Times New Roman" w:eastAsia="Times New Roman" w:hAnsi="Times New Roman" w:cs="Times New Roman"/>
        </w:rPr>
      </w:pPr>
      <w:r w:rsidRPr="00F18318">
        <w:rPr>
          <w:rFonts w:ascii="Times New Roman" w:eastAsia="Times New Roman" w:hAnsi="Times New Roman" w:cs="Times New Roman"/>
        </w:rPr>
        <w:t xml:space="preserve">This project mattered </w:t>
      </w:r>
      <w:r w:rsidR="123D5AA0" w:rsidRPr="00F18318">
        <w:rPr>
          <w:rFonts w:ascii="Times New Roman" w:eastAsia="Times New Roman" w:hAnsi="Times New Roman" w:cs="Times New Roman"/>
        </w:rPr>
        <w:t>because</w:t>
      </w:r>
      <w:r w:rsidRPr="00F18318">
        <w:rPr>
          <w:rFonts w:ascii="Times New Roman" w:eastAsia="Times New Roman" w:hAnsi="Times New Roman" w:cs="Times New Roman"/>
        </w:rPr>
        <w:t xml:space="preserve"> it gave me a more </w:t>
      </w:r>
      <w:r w:rsidR="4DA5FB71" w:rsidRPr="00F18318">
        <w:rPr>
          <w:rFonts w:ascii="Times New Roman" w:eastAsia="Times New Roman" w:hAnsi="Times New Roman" w:cs="Times New Roman"/>
        </w:rPr>
        <w:t>realistic</w:t>
      </w:r>
      <w:r w:rsidRPr="00F18318">
        <w:rPr>
          <w:rFonts w:ascii="Times New Roman" w:eastAsia="Times New Roman" w:hAnsi="Times New Roman" w:cs="Times New Roman"/>
        </w:rPr>
        <w:t xml:space="preserve"> understanding of how health systems and community agencies actually function outside of a textbook</w:t>
      </w:r>
      <w:r w:rsidR="12703FF3" w:rsidRPr="00F18318">
        <w:rPr>
          <w:rFonts w:ascii="Times New Roman" w:eastAsia="Times New Roman" w:hAnsi="Times New Roman" w:cs="Times New Roman"/>
        </w:rPr>
        <w:t xml:space="preserve">. Moving forward, this project made me want to </w:t>
      </w:r>
      <w:r w:rsidR="488CA0DC" w:rsidRPr="00F18318">
        <w:rPr>
          <w:rFonts w:ascii="Times New Roman" w:eastAsia="Times New Roman" w:hAnsi="Times New Roman" w:cs="Times New Roman"/>
        </w:rPr>
        <w:t xml:space="preserve">be more intentional about really </w:t>
      </w:r>
      <w:r w:rsidR="2CA59567" w:rsidRPr="00F18318">
        <w:rPr>
          <w:rFonts w:ascii="Times New Roman" w:eastAsia="Times New Roman" w:hAnsi="Times New Roman" w:cs="Times New Roman"/>
        </w:rPr>
        <w:t>understanding</w:t>
      </w:r>
      <w:r w:rsidR="488CA0DC" w:rsidRPr="00F18318">
        <w:rPr>
          <w:rFonts w:ascii="Times New Roman" w:eastAsia="Times New Roman" w:hAnsi="Times New Roman" w:cs="Times New Roman"/>
        </w:rPr>
        <w:t xml:space="preserve"> the systems people rely on, not just assuming they work. </w:t>
      </w:r>
      <w:r w:rsidR="60345279" w:rsidRPr="00F18318">
        <w:rPr>
          <w:rFonts w:ascii="Times New Roman" w:eastAsia="Times New Roman" w:hAnsi="Times New Roman" w:cs="Times New Roman"/>
        </w:rPr>
        <w:t xml:space="preserve">It is important to be more aware of how </w:t>
      </w:r>
      <w:r w:rsidR="1984B9BD" w:rsidRPr="00F18318">
        <w:rPr>
          <w:rFonts w:ascii="Times New Roman" w:eastAsia="Times New Roman" w:hAnsi="Times New Roman" w:cs="Times New Roman"/>
        </w:rPr>
        <w:t>realistic</w:t>
      </w:r>
      <w:r w:rsidR="60345279" w:rsidRPr="00F18318">
        <w:rPr>
          <w:rFonts w:ascii="Times New Roman" w:eastAsia="Times New Roman" w:hAnsi="Times New Roman" w:cs="Times New Roman"/>
        </w:rPr>
        <w:t xml:space="preserve"> it is for </w:t>
      </w:r>
      <w:r w:rsidR="5739935F" w:rsidRPr="00F18318">
        <w:rPr>
          <w:rFonts w:ascii="Times New Roman" w:eastAsia="Times New Roman" w:hAnsi="Times New Roman" w:cs="Times New Roman"/>
        </w:rPr>
        <w:t>someone</w:t>
      </w:r>
      <w:r w:rsidR="60345279" w:rsidRPr="00F18318">
        <w:rPr>
          <w:rFonts w:ascii="Times New Roman" w:eastAsia="Times New Roman" w:hAnsi="Times New Roman" w:cs="Times New Roman"/>
        </w:rPr>
        <w:t xml:space="preserve"> to get help, not just whether a </w:t>
      </w:r>
      <w:r w:rsidR="1B5048F4" w:rsidRPr="00F18318">
        <w:rPr>
          <w:rFonts w:ascii="Times New Roman" w:eastAsia="Times New Roman" w:hAnsi="Times New Roman" w:cs="Times New Roman"/>
        </w:rPr>
        <w:t>resource</w:t>
      </w:r>
      <w:r w:rsidR="60345279" w:rsidRPr="00F18318">
        <w:rPr>
          <w:rFonts w:ascii="Times New Roman" w:eastAsia="Times New Roman" w:hAnsi="Times New Roman" w:cs="Times New Roman"/>
        </w:rPr>
        <w:t xml:space="preserve"> </w:t>
      </w:r>
      <w:r w:rsidR="7CFB00AF" w:rsidRPr="00F18318">
        <w:rPr>
          <w:rFonts w:ascii="Times New Roman" w:eastAsia="Times New Roman" w:hAnsi="Times New Roman" w:cs="Times New Roman"/>
        </w:rPr>
        <w:t>exists</w:t>
      </w:r>
      <w:r w:rsidR="60345279" w:rsidRPr="00F18318">
        <w:rPr>
          <w:rFonts w:ascii="Times New Roman" w:eastAsia="Times New Roman" w:hAnsi="Times New Roman" w:cs="Times New Roman"/>
        </w:rPr>
        <w:t xml:space="preserve"> on paper. Overall, this project pushed me to think beyond the clinical side of health and focus more on the </w:t>
      </w:r>
      <w:r w:rsidR="6A2954DB" w:rsidRPr="00F18318">
        <w:rPr>
          <w:rFonts w:ascii="Times New Roman" w:eastAsia="Times New Roman" w:hAnsi="Times New Roman" w:cs="Times New Roman"/>
        </w:rPr>
        <w:t>social</w:t>
      </w:r>
      <w:r w:rsidR="60345279" w:rsidRPr="00F18318">
        <w:rPr>
          <w:rFonts w:ascii="Times New Roman" w:eastAsia="Times New Roman" w:hAnsi="Times New Roman" w:cs="Times New Roman"/>
        </w:rPr>
        <w:t xml:space="preserve"> factors that </w:t>
      </w:r>
      <w:r w:rsidR="708BD941" w:rsidRPr="00F18318">
        <w:rPr>
          <w:rFonts w:ascii="Times New Roman" w:eastAsia="Times New Roman" w:hAnsi="Times New Roman" w:cs="Times New Roman"/>
        </w:rPr>
        <w:t>influence</w:t>
      </w:r>
      <w:r w:rsidR="60345279" w:rsidRPr="00F18318">
        <w:rPr>
          <w:rFonts w:ascii="Times New Roman" w:eastAsia="Times New Roman" w:hAnsi="Times New Roman" w:cs="Times New Roman"/>
        </w:rPr>
        <w:t xml:space="preserve"> whether someone </w:t>
      </w:r>
      <w:r w:rsidR="259B58D8" w:rsidRPr="00F18318">
        <w:rPr>
          <w:rFonts w:ascii="Times New Roman" w:eastAsia="Times New Roman" w:hAnsi="Times New Roman" w:cs="Times New Roman"/>
        </w:rPr>
        <w:t xml:space="preserve">can actually access care in the first place. </w:t>
      </w:r>
    </w:p>
    <w:p w14:paraId="14CE8C6E" w14:textId="4E036375" w:rsidR="00F18318" w:rsidRDefault="00F18318" w:rsidP="00F18318"/>
    <w:p w14:paraId="3610A627" w14:textId="00DF5D7D" w:rsidR="00107D58" w:rsidRDefault="00107D58" w:rsidP="27F64FDA">
      <w:pPr>
        <w:pStyle w:val="Heading2"/>
        <w:rPr>
          <w:rFonts w:ascii="Times New Roman" w:hAnsi="Times New Roman" w:cs="Times New Roman"/>
          <w:i/>
          <w:iCs/>
          <w:color w:val="000000" w:themeColor="text1"/>
          <w:sz w:val="24"/>
          <w:szCs w:val="24"/>
        </w:rPr>
      </w:pPr>
      <w:bookmarkStart w:id="31" w:name="_Toc214982997"/>
      <w:r w:rsidRPr="27F64FDA">
        <w:rPr>
          <w:rFonts w:ascii="Times New Roman" w:hAnsi="Times New Roman" w:cs="Times New Roman"/>
          <w:i/>
          <w:iCs/>
          <w:color w:val="000000" w:themeColor="text1"/>
          <w:sz w:val="24"/>
          <w:szCs w:val="24"/>
        </w:rPr>
        <w:t>Alex</w:t>
      </w:r>
      <w:bookmarkEnd w:id="31"/>
    </w:p>
    <w:p w14:paraId="2DF994C3" w14:textId="2C8A506B" w:rsidR="002E2B7B" w:rsidRDefault="00015717" w:rsidP="002E2B7B">
      <w:pPr>
        <w:ind w:firstLine="720"/>
        <w:rPr>
          <w:rFonts w:ascii="Times New Roman" w:hAnsi="Times New Roman" w:cs="Times New Roman"/>
        </w:rPr>
      </w:pPr>
      <w:r w:rsidRPr="27F64FDA">
        <w:rPr>
          <w:rFonts w:ascii="Times New Roman" w:hAnsi="Times New Roman" w:cs="Times New Roman"/>
        </w:rPr>
        <w:t>During</w:t>
      </w:r>
      <w:r w:rsidR="00FE76E3" w:rsidRPr="27F64FDA">
        <w:rPr>
          <w:rFonts w:ascii="Times New Roman" w:hAnsi="Times New Roman" w:cs="Times New Roman"/>
        </w:rPr>
        <w:t xml:space="preserve"> this community assessment project, </w:t>
      </w:r>
      <w:r w:rsidR="008B1D84" w:rsidRPr="27F64FDA">
        <w:rPr>
          <w:rFonts w:ascii="Times New Roman" w:hAnsi="Times New Roman" w:cs="Times New Roman"/>
        </w:rPr>
        <w:t xml:space="preserve">I was able to learn about many resources that Athens has to offer for IPV and bipolar disorder patients. </w:t>
      </w:r>
      <w:r w:rsidRPr="27F64FDA">
        <w:rPr>
          <w:rFonts w:ascii="Times New Roman" w:hAnsi="Times New Roman" w:cs="Times New Roman"/>
        </w:rPr>
        <w:t xml:space="preserve">For example, I did not realize that resources for bipolar disorder were limited but there are a decent </w:t>
      </w:r>
      <w:r w:rsidR="005E342C" w:rsidRPr="27F64FDA">
        <w:rPr>
          <w:rFonts w:ascii="Times New Roman" w:hAnsi="Times New Roman" w:cs="Times New Roman"/>
        </w:rPr>
        <w:t>number</w:t>
      </w:r>
      <w:r w:rsidRPr="27F64FDA">
        <w:rPr>
          <w:rFonts w:ascii="Times New Roman" w:hAnsi="Times New Roman" w:cs="Times New Roman"/>
        </w:rPr>
        <w:t xml:space="preserve"> of resources for IPV pa</w:t>
      </w:r>
      <w:r w:rsidR="00D756D7" w:rsidRPr="27F64FDA">
        <w:rPr>
          <w:rFonts w:ascii="Times New Roman" w:hAnsi="Times New Roman" w:cs="Times New Roman"/>
        </w:rPr>
        <w:t xml:space="preserve">tients. One </w:t>
      </w:r>
      <w:r w:rsidR="005E342C" w:rsidRPr="27F64FDA">
        <w:rPr>
          <w:rFonts w:ascii="Times New Roman" w:hAnsi="Times New Roman" w:cs="Times New Roman"/>
        </w:rPr>
        <w:t xml:space="preserve">struggle that I </w:t>
      </w:r>
      <w:r w:rsidR="00FB37D1" w:rsidRPr="27F64FDA">
        <w:rPr>
          <w:rFonts w:ascii="Times New Roman" w:hAnsi="Times New Roman" w:cs="Times New Roman"/>
        </w:rPr>
        <w:t>met</w:t>
      </w:r>
      <w:r w:rsidR="005E342C" w:rsidRPr="27F64FDA">
        <w:rPr>
          <w:rFonts w:ascii="Times New Roman" w:hAnsi="Times New Roman" w:cs="Times New Roman"/>
        </w:rPr>
        <w:t xml:space="preserve"> </w:t>
      </w:r>
      <w:r w:rsidR="002E3F80" w:rsidRPr="27F64FDA">
        <w:rPr>
          <w:rFonts w:ascii="Times New Roman" w:hAnsi="Times New Roman" w:cs="Times New Roman"/>
        </w:rPr>
        <w:t xml:space="preserve">while </w:t>
      </w:r>
      <w:r w:rsidR="5AB18C77" w:rsidRPr="27F64FDA">
        <w:rPr>
          <w:rFonts w:ascii="Times New Roman" w:hAnsi="Times New Roman" w:cs="Times New Roman"/>
        </w:rPr>
        <w:t>researching</w:t>
      </w:r>
      <w:r w:rsidR="002E3F80" w:rsidRPr="27F64FDA">
        <w:rPr>
          <w:rFonts w:ascii="Times New Roman" w:hAnsi="Times New Roman" w:cs="Times New Roman"/>
        </w:rPr>
        <w:t xml:space="preserve"> this project was the cost of services. I focused on Advantage Behavioral and the website details how they </w:t>
      </w:r>
      <w:r w:rsidR="00FD4FA8" w:rsidRPr="27F64FDA">
        <w:rPr>
          <w:rFonts w:ascii="Times New Roman" w:hAnsi="Times New Roman" w:cs="Times New Roman"/>
        </w:rPr>
        <w:t xml:space="preserve">accept a variety of insurances but does not reveal how much uninsured patients </w:t>
      </w:r>
      <w:r w:rsidR="00BB317F" w:rsidRPr="27F64FDA">
        <w:rPr>
          <w:rFonts w:ascii="Times New Roman" w:hAnsi="Times New Roman" w:cs="Times New Roman"/>
        </w:rPr>
        <w:t>must</w:t>
      </w:r>
      <w:r w:rsidR="00FD4FA8" w:rsidRPr="27F64FDA">
        <w:rPr>
          <w:rFonts w:ascii="Times New Roman" w:hAnsi="Times New Roman" w:cs="Times New Roman"/>
        </w:rPr>
        <w:t xml:space="preserve"> pay for services. </w:t>
      </w:r>
      <w:r w:rsidR="00BB317F" w:rsidRPr="27F64FDA">
        <w:rPr>
          <w:rFonts w:ascii="Times New Roman" w:hAnsi="Times New Roman" w:cs="Times New Roman"/>
        </w:rPr>
        <w:t>This can be a struggle for many,</w:t>
      </w:r>
      <w:r w:rsidR="0030200E" w:rsidRPr="27F64FDA">
        <w:rPr>
          <w:rFonts w:ascii="Times New Roman" w:hAnsi="Times New Roman" w:cs="Times New Roman"/>
        </w:rPr>
        <w:t xml:space="preserve"> as some people have limited budgets for healthcare services and need to know the cost ahead of time. Additionally, </w:t>
      </w:r>
      <w:r w:rsidR="00371CDB" w:rsidRPr="27F64FDA">
        <w:rPr>
          <w:rFonts w:ascii="Times New Roman" w:hAnsi="Times New Roman" w:cs="Times New Roman"/>
        </w:rPr>
        <w:t xml:space="preserve">the website details how some fees can be paid based on a sliding-scale, but the link for the sliding scale did not </w:t>
      </w:r>
      <w:r w:rsidR="00746BD8" w:rsidRPr="27F64FDA">
        <w:rPr>
          <w:rFonts w:ascii="Times New Roman" w:hAnsi="Times New Roman" w:cs="Times New Roman"/>
        </w:rPr>
        <w:t>work</w:t>
      </w:r>
      <w:r w:rsidR="00371CDB" w:rsidRPr="27F64FDA">
        <w:rPr>
          <w:rFonts w:ascii="Times New Roman" w:hAnsi="Times New Roman" w:cs="Times New Roman"/>
        </w:rPr>
        <w:t xml:space="preserve"> and was later removed completely from the website.</w:t>
      </w:r>
    </w:p>
    <w:p w14:paraId="7EECBE04" w14:textId="5B68CF98" w:rsidR="00A81FCE" w:rsidRPr="00FE76E3" w:rsidRDefault="00A81FCE" w:rsidP="00A62454">
      <w:pPr>
        <w:ind w:firstLine="720"/>
        <w:rPr>
          <w:rFonts w:ascii="Times New Roman" w:hAnsi="Times New Roman" w:cs="Times New Roman"/>
        </w:rPr>
      </w:pPr>
      <w:r w:rsidRPr="27F64FDA">
        <w:rPr>
          <w:rFonts w:ascii="Times New Roman" w:hAnsi="Times New Roman" w:cs="Times New Roman"/>
        </w:rPr>
        <w:t xml:space="preserve">I learned that </w:t>
      </w:r>
      <w:r w:rsidR="00396793" w:rsidRPr="27F64FDA">
        <w:rPr>
          <w:rFonts w:ascii="Times New Roman" w:hAnsi="Times New Roman" w:cs="Times New Roman"/>
        </w:rPr>
        <w:t xml:space="preserve">there are </w:t>
      </w:r>
      <w:r w:rsidR="00DD69C3" w:rsidRPr="27F64FDA">
        <w:rPr>
          <w:rFonts w:ascii="Times New Roman" w:hAnsi="Times New Roman" w:cs="Times New Roman"/>
        </w:rPr>
        <w:t>several</w:t>
      </w:r>
      <w:r w:rsidR="00396793" w:rsidRPr="27F64FDA">
        <w:rPr>
          <w:rFonts w:ascii="Times New Roman" w:hAnsi="Times New Roman" w:cs="Times New Roman"/>
        </w:rPr>
        <w:t xml:space="preserve"> free or </w:t>
      </w:r>
      <w:r w:rsidR="002D7EDD" w:rsidRPr="27F64FDA">
        <w:rPr>
          <w:rFonts w:ascii="Times New Roman" w:hAnsi="Times New Roman" w:cs="Times New Roman"/>
        </w:rPr>
        <w:t>low-cost</w:t>
      </w:r>
      <w:r w:rsidR="00396793" w:rsidRPr="27F64FDA">
        <w:rPr>
          <w:rFonts w:ascii="Times New Roman" w:hAnsi="Times New Roman" w:cs="Times New Roman"/>
        </w:rPr>
        <w:t xml:space="preserve"> services available in Athens for the patient in our assessment. </w:t>
      </w:r>
      <w:r w:rsidR="00944F7F" w:rsidRPr="27F64FDA">
        <w:rPr>
          <w:rFonts w:ascii="Times New Roman" w:hAnsi="Times New Roman" w:cs="Times New Roman"/>
        </w:rPr>
        <w:t>However, there may be challenges in accessing these services</w:t>
      </w:r>
      <w:r w:rsidR="002D7EDD" w:rsidRPr="27F64FDA">
        <w:rPr>
          <w:rFonts w:ascii="Times New Roman" w:hAnsi="Times New Roman" w:cs="Times New Roman"/>
        </w:rPr>
        <w:t xml:space="preserve">. Issues such as transportation, long </w:t>
      </w:r>
      <w:r w:rsidR="002E2B7B" w:rsidRPr="27F64FDA">
        <w:rPr>
          <w:rFonts w:ascii="Times New Roman" w:hAnsi="Times New Roman" w:cs="Times New Roman"/>
        </w:rPr>
        <w:t>waitlists</w:t>
      </w:r>
      <w:r w:rsidR="002D7EDD" w:rsidRPr="27F64FDA">
        <w:rPr>
          <w:rFonts w:ascii="Times New Roman" w:hAnsi="Times New Roman" w:cs="Times New Roman"/>
        </w:rPr>
        <w:t xml:space="preserve">, and </w:t>
      </w:r>
      <w:r w:rsidR="00895DAD" w:rsidRPr="27F64FDA">
        <w:rPr>
          <w:rFonts w:ascii="Times New Roman" w:hAnsi="Times New Roman" w:cs="Times New Roman"/>
        </w:rPr>
        <w:t xml:space="preserve">limited information about pricing may be </w:t>
      </w:r>
      <w:r w:rsidR="6AE0BDF6" w:rsidRPr="27F64FDA">
        <w:rPr>
          <w:rFonts w:ascii="Times New Roman" w:hAnsi="Times New Roman" w:cs="Times New Roman"/>
        </w:rPr>
        <w:t>adding</w:t>
      </w:r>
      <w:r w:rsidR="00895DAD" w:rsidRPr="27F64FDA">
        <w:rPr>
          <w:rFonts w:ascii="Times New Roman" w:hAnsi="Times New Roman" w:cs="Times New Roman"/>
        </w:rPr>
        <w:t xml:space="preserve"> difficulties for the patient.</w:t>
      </w:r>
      <w:r w:rsidR="00591332" w:rsidRPr="27F64FDA">
        <w:rPr>
          <w:rFonts w:ascii="Times New Roman" w:hAnsi="Times New Roman" w:cs="Times New Roman"/>
        </w:rPr>
        <w:t xml:space="preserve"> One challenge I faced </w:t>
      </w:r>
      <w:r w:rsidR="00AF1758" w:rsidRPr="27F64FDA">
        <w:rPr>
          <w:rFonts w:ascii="Times New Roman" w:hAnsi="Times New Roman" w:cs="Times New Roman"/>
        </w:rPr>
        <w:t>when researching was finding enough information about these service</w:t>
      </w:r>
      <w:r w:rsidR="004A7371" w:rsidRPr="27F64FDA">
        <w:rPr>
          <w:rFonts w:ascii="Times New Roman" w:hAnsi="Times New Roman" w:cs="Times New Roman"/>
        </w:rPr>
        <w:t xml:space="preserve">s. </w:t>
      </w:r>
      <w:r w:rsidR="003258C7" w:rsidRPr="27F64FDA">
        <w:rPr>
          <w:rFonts w:ascii="Times New Roman" w:hAnsi="Times New Roman" w:cs="Times New Roman"/>
        </w:rPr>
        <w:t xml:space="preserve">I had a working computer and functioning internet but if someone were to not have these resources, it would make finding </w:t>
      </w:r>
      <w:r w:rsidR="00B0596E" w:rsidRPr="27F64FDA">
        <w:rPr>
          <w:rFonts w:ascii="Times New Roman" w:hAnsi="Times New Roman" w:cs="Times New Roman"/>
        </w:rPr>
        <w:t xml:space="preserve">resources extremely hard. Sometimes I would have to complete multiple internet searches just to find one </w:t>
      </w:r>
      <w:r w:rsidR="00A62454" w:rsidRPr="27F64FDA">
        <w:rPr>
          <w:rFonts w:ascii="Times New Roman" w:hAnsi="Times New Roman" w:cs="Times New Roman"/>
        </w:rPr>
        <w:t>answer I needed about a resource.</w:t>
      </w:r>
      <w:r w:rsidR="005A4F86" w:rsidRPr="27F64FDA">
        <w:rPr>
          <w:rFonts w:ascii="Times New Roman" w:hAnsi="Times New Roman" w:cs="Times New Roman"/>
        </w:rPr>
        <w:t xml:space="preserve"> Moving forward, </w:t>
      </w:r>
      <w:r w:rsidR="001D0426" w:rsidRPr="27F64FDA">
        <w:rPr>
          <w:rFonts w:ascii="Times New Roman" w:hAnsi="Times New Roman" w:cs="Times New Roman"/>
        </w:rPr>
        <w:t xml:space="preserve">additional </w:t>
      </w:r>
      <w:r w:rsidR="00136F54" w:rsidRPr="27F64FDA">
        <w:rPr>
          <w:rFonts w:ascii="Times New Roman" w:hAnsi="Times New Roman" w:cs="Times New Roman"/>
        </w:rPr>
        <w:t xml:space="preserve">education and marketing materials should be spread about these </w:t>
      </w:r>
      <w:r w:rsidR="00405FE0" w:rsidRPr="27F64FDA">
        <w:rPr>
          <w:rFonts w:ascii="Times New Roman" w:hAnsi="Times New Roman" w:cs="Times New Roman"/>
        </w:rPr>
        <w:t>services</w:t>
      </w:r>
      <w:r w:rsidR="00A62454" w:rsidRPr="27F64FDA">
        <w:rPr>
          <w:rFonts w:ascii="Times New Roman" w:hAnsi="Times New Roman" w:cs="Times New Roman"/>
        </w:rPr>
        <w:t>.</w:t>
      </w:r>
    </w:p>
    <w:p w14:paraId="6538A88D" w14:textId="0781DBF7" w:rsidR="00B45DBC" w:rsidRDefault="00B45DBC" w:rsidP="00215800">
      <w:pPr>
        <w:pStyle w:val="NormalWeb"/>
        <w:spacing w:before="0" w:beforeAutospacing="0" w:after="0" w:afterAutospacing="0" w:line="480" w:lineRule="auto"/>
        <w:rPr>
          <w:color w:val="000000"/>
        </w:rPr>
      </w:pPr>
    </w:p>
    <w:p w14:paraId="34C20A07" w14:textId="77777777" w:rsidR="00560084" w:rsidRDefault="00560084" w:rsidP="00215800">
      <w:pPr>
        <w:pStyle w:val="NormalWeb"/>
        <w:spacing w:before="0" w:beforeAutospacing="0" w:after="0" w:afterAutospacing="0" w:line="480" w:lineRule="auto"/>
        <w:rPr>
          <w:color w:val="000000"/>
        </w:rPr>
      </w:pPr>
    </w:p>
    <w:p w14:paraId="7911BEA9" w14:textId="77777777" w:rsidR="00560084" w:rsidRDefault="00560084" w:rsidP="00215800">
      <w:pPr>
        <w:pStyle w:val="NormalWeb"/>
        <w:spacing w:before="0" w:beforeAutospacing="0" w:after="0" w:afterAutospacing="0" w:line="480" w:lineRule="auto"/>
        <w:rPr>
          <w:color w:val="000000"/>
        </w:rPr>
      </w:pPr>
    </w:p>
    <w:p w14:paraId="3A7E953D" w14:textId="77777777" w:rsidR="00560084" w:rsidRDefault="00560084" w:rsidP="00215800">
      <w:pPr>
        <w:pStyle w:val="NormalWeb"/>
        <w:spacing w:before="0" w:beforeAutospacing="0" w:after="0" w:afterAutospacing="0" w:line="480" w:lineRule="auto"/>
        <w:rPr>
          <w:color w:val="000000"/>
        </w:rPr>
      </w:pPr>
    </w:p>
    <w:p w14:paraId="63898DBB" w14:textId="77777777" w:rsidR="00560084" w:rsidRDefault="00560084" w:rsidP="00215800">
      <w:pPr>
        <w:pStyle w:val="NormalWeb"/>
        <w:spacing w:before="0" w:beforeAutospacing="0" w:after="0" w:afterAutospacing="0" w:line="480" w:lineRule="auto"/>
        <w:rPr>
          <w:color w:val="000000"/>
        </w:rPr>
      </w:pPr>
    </w:p>
    <w:p w14:paraId="7B2FA705" w14:textId="77777777" w:rsidR="00560084" w:rsidRDefault="00560084" w:rsidP="00215800">
      <w:pPr>
        <w:pStyle w:val="NormalWeb"/>
        <w:spacing w:before="0" w:beforeAutospacing="0" w:after="0" w:afterAutospacing="0" w:line="480" w:lineRule="auto"/>
        <w:rPr>
          <w:color w:val="000000"/>
        </w:rPr>
      </w:pPr>
    </w:p>
    <w:p w14:paraId="1B31848D" w14:textId="77777777" w:rsidR="00560084" w:rsidRPr="00A62454" w:rsidRDefault="00560084" w:rsidP="00215800">
      <w:pPr>
        <w:pStyle w:val="NormalWeb"/>
        <w:spacing w:before="0" w:beforeAutospacing="0" w:after="0" w:afterAutospacing="0" w:line="480" w:lineRule="auto"/>
        <w:rPr>
          <w:color w:val="000000"/>
        </w:rPr>
      </w:pPr>
    </w:p>
    <w:p w14:paraId="4B2082D9" w14:textId="1A734F3B" w:rsidR="00215800" w:rsidRPr="00CE496F" w:rsidRDefault="00215800" w:rsidP="27F64FDA">
      <w:pPr>
        <w:pStyle w:val="Heading1"/>
        <w:rPr>
          <w:rFonts w:ascii="Times New Roman" w:hAnsi="Times New Roman" w:cs="Times New Roman"/>
          <w:b/>
          <w:bCs/>
          <w:color w:val="000000" w:themeColor="text1"/>
          <w:sz w:val="28"/>
          <w:szCs w:val="28"/>
        </w:rPr>
      </w:pPr>
    </w:p>
    <w:p w14:paraId="597A5080" w14:textId="69B4569E" w:rsidR="00215800" w:rsidRPr="00CE496F" w:rsidRDefault="00215800" w:rsidP="27F64FDA">
      <w:r>
        <w:br w:type="page"/>
      </w:r>
    </w:p>
    <w:p w14:paraId="7284FF71" w14:textId="66DDBB05" w:rsidR="00215800" w:rsidRPr="00CE496F" w:rsidRDefault="00215800" w:rsidP="00236FD6">
      <w:pPr>
        <w:pStyle w:val="Heading1"/>
        <w:rPr>
          <w:rFonts w:ascii="Times New Roman" w:hAnsi="Times New Roman" w:cs="Times New Roman"/>
          <w:b/>
          <w:bCs/>
          <w:color w:val="000000" w:themeColor="text1"/>
          <w:sz w:val="28"/>
          <w:szCs w:val="28"/>
        </w:rPr>
      </w:pPr>
      <w:bookmarkStart w:id="32" w:name="_Toc214982998"/>
      <w:r w:rsidRPr="27F64FDA">
        <w:rPr>
          <w:rFonts w:ascii="Times New Roman" w:hAnsi="Times New Roman" w:cs="Times New Roman"/>
          <w:b/>
          <w:bCs/>
          <w:color w:val="000000" w:themeColor="text1"/>
          <w:sz w:val="28"/>
          <w:szCs w:val="28"/>
        </w:rPr>
        <w:t>References</w:t>
      </w:r>
      <w:bookmarkEnd w:id="32"/>
    </w:p>
    <w:p w14:paraId="73487627" w14:textId="77777777" w:rsidR="00215800" w:rsidRDefault="00215800" w:rsidP="66C8CD3B">
      <w:pPr>
        <w:pStyle w:val="NormalWeb"/>
        <w:numPr>
          <w:ilvl w:val="0"/>
          <w:numId w:val="1"/>
        </w:numPr>
        <w:spacing w:before="0" w:beforeAutospacing="0" w:after="0" w:afterAutospacing="0" w:line="480" w:lineRule="auto"/>
        <w:textAlignment w:val="baseline"/>
        <w:rPr>
          <w:color w:val="000000"/>
        </w:rPr>
      </w:pPr>
      <w:r w:rsidRPr="66C8CD3B">
        <w:rPr>
          <w:color w:val="000000" w:themeColor="text1"/>
        </w:rPr>
        <w:t>Advantage Behavioral Health Systems. (2023).</w:t>
      </w:r>
      <w:hyperlink r:id="rId8">
        <w:r w:rsidRPr="66C8CD3B">
          <w:rPr>
            <w:rStyle w:val="Hyperlink"/>
            <w:color w:val="000000" w:themeColor="text1"/>
          </w:rPr>
          <w:t xml:space="preserve"> </w:t>
        </w:r>
        <w:r w:rsidRPr="66C8CD3B">
          <w:rPr>
            <w:rStyle w:val="Hyperlink"/>
            <w:color w:val="1155CC"/>
          </w:rPr>
          <w:t>https://advantagebhs.org/</w:t>
        </w:r>
      </w:hyperlink>
      <w:r w:rsidRPr="66C8CD3B">
        <w:rPr>
          <w:color w:val="000000" w:themeColor="text1"/>
        </w:rPr>
        <w:t> </w:t>
      </w:r>
    </w:p>
    <w:p w14:paraId="3DE9A9C8"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Agency for Healthcare Research and Quality. (2016). </w:t>
      </w:r>
      <w:r>
        <w:rPr>
          <w:i/>
          <w:iCs/>
          <w:color w:val="000000"/>
        </w:rPr>
        <w:t>The Collaborative Care Model: An approach for integrating physical and mental health care in Medicaid health homes.</w:t>
      </w:r>
      <w:r>
        <w:rPr>
          <w:color w:val="000000"/>
        </w:rPr>
        <w:t xml:space="preserve"> U.S. Department of Health and Human Services. </w:t>
      </w:r>
      <w:hyperlink r:id="rId9" w:history="1">
        <w:r>
          <w:rPr>
            <w:rStyle w:val="Hyperlink"/>
            <w:color w:val="1155CC"/>
          </w:rPr>
          <w:t>https://www.ahrq.gov/ncepcr/care/coordination/coordcare.html</w:t>
        </w:r>
      </w:hyperlink>
    </w:p>
    <w:p w14:paraId="482341FC"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Athens Neighborhood Health Center. (2024, August 28). </w:t>
      </w:r>
      <w:hyperlink r:id="rId10" w:history="1">
        <w:r>
          <w:rPr>
            <w:rStyle w:val="Hyperlink"/>
            <w:color w:val="1155CC"/>
          </w:rPr>
          <w:t>https://www.anhc.clinic/</w:t>
        </w:r>
      </w:hyperlink>
      <w:r>
        <w:rPr>
          <w:color w:val="000000"/>
        </w:rPr>
        <w:t> </w:t>
      </w:r>
    </w:p>
    <w:p w14:paraId="0BA742B5"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i/>
          <w:iCs/>
          <w:color w:val="000000"/>
        </w:rPr>
        <w:t>Athens-Clarke County, GA - Official Website: Official website</w:t>
      </w:r>
      <w:r>
        <w:rPr>
          <w:color w:val="000000"/>
        </w:rPr>
        <w:t xml:space="preserve">. Athens-Clarke County, GA - Official Website | Official Website. (n.d.). </w:t>
      </w:r>
      <w:hyperlink r:id="rId11" w:history="1">
        <w:r>
          <w:rPr>
            <w:rStyle w:val="Hyperlink"/>
            <w:color w:val="1155CC"/>
          </w:rPr>
          <w:t>https://www.accgov.com/</w:t>
        </w:r>
      </w:hyperlink>
      <w:r>
        <w:rPr>
          <w:color w:val="000000"/>
        </w:rPr>
        <w:t> </w:t>
      </w:r>
    </w:p>
    <w:p w14:paraId="2AB6CB48"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Bipolar disorder. National Alliance on Mental Illness (NAMI). (2025, August 26).</w:t>
      </w:r>
      <w:hyperlink r:id="rId12" w:history="1">
        <w:r>
          <w:rPr>
            <w:rStyle w:val="Hyperlink"/>
            <w:color w:val="000000"/>
          </w:rPr>
          <w:t xml:space="preserve"> </w:t>
        </w:r>
        <w:r>
          <w:rPr>
            <w:rStyle w:val="Hyperlink"/>
            <w:color w:val="1155CC"/>
          </w:rPr>
          <w:t>https://www.nami.org/about-mental-illness/mental-health-conditions/bipolar-disorder/</w:t>
        </w:r>
      </w:hyperlink>
    </w:p>
    <w:p w14:paraId="41A16578"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Breiding, M. J., Basile, K. C., Smith, S. G., Black, M. C., &amp; Mahendra, R. R. (2015). </w:t>
      </w:r>
      <w:r>
        <w:rPr>
          <w:i/>
          <w:iCs/>
          <w:color w:val="000000"/>
        </w:rPr>
        <w:t>Intimate partner violence surveillance: Uniform definitions and recommended data elements, version 2.0.</w:t>
      </w:r>
    </w:p>
    <w:p w14:paraId="67BE7E0A" w14:textId="77777777" w:rsidR="00215800" w:rsidRDefault="00215800" w:rsidP="66C8CD3B">
      <w:pPr>
        <w:pStyle w:val="NormalWeb"/>
        <w:numPr>
          <w:ilvl w:val="0"/>
          <w:numId w:val="1"/>
        </w:numPr>
        <w:spacing w:before="0" w:beforeAutospacing="0" w:after="0" w:afterAutospacing="0" w:line="480" w:lineRule="auto"/>
        <w:textAlignment w:val="baseline"/>
        <w:rPr>
          <w:color w:val="000000"/>
        </w:rPr>
      </w:pPr>
      <w:r w:rsidRPr="66C8CD3B">
        <w:rPr>
          <w:color w:val="000000" w:themeColor="text1"/>
        </w:rPr>
        <w:t xml:space="preserve">Campbell, J. C. (2002). Health consequences of intimate partner violence. </w:t>
      </w:r>
      <w:r w:rsidRPr="66C8CD3B">
        <w:rPr>
          <w:i/>
          <w:iCs/>
          <w:color w:val="000000" w:themeColor="text1"/>
        </w:rPr>
        <w:t>The Lancet, 359</w:t>
      </w:r>
      <w:r w:rsidRPr="66C8CD3B">
        <w:rPr>
          <w:color w:val="000000" w:themeColor="text1"/>
        </w:rPr>
        <w:t>(9314), 1331–1336.</w:t>
      </w:r>
      <w:hyperlink r:id="rId13">
        <w:r w:rsidRPr="66C8CD3B">
          <w:rPr>
            <w:rStyle w:val="Hyperlink"/>
            <w:color w:val="000000" w:themeColor="text1"/>
          </w:rPr>
          <w:t xml:space="preserve"> </w:t>
        </w:r>
        <w:r w:rsidRPr="66C8CD3B">
          <w:rPr>
            <w:rStyle w:val="Hyperlink"/>
            <w:color w:val="1155CC"/>
          </w:rPr>
          <w:t>https://doi.org/10.1016/S0140-6736(02)08336-8</w:t>
        </w:r>
      </w:hyperlink>
    </w:p>
    <w:p w14:paraId="11F6307C"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Capaldi, D. M., Knoble, N. B., Shortt, J. W., &amp; Kim, H. K. (2012). A systematic review of risk factors for intimate partner violence. </w:t>
      </w:r>
      <w:r>
        <w:rPr>
          <w:i/>
          <w:iCs/>
          <w:color w:val="000000"/>
        </w:rPr>
        <w:t>Partner Abuse, 3</w:t>
      </w:r>
      <w:r>
        <w:rPr>
          <w:color w:val="000000"/>
        </w:rPr>
        <w:t>(2), 231–280.</w:t>
      </w:r>
      <w:hyperlink r:id="rId14" w:history="1">
        <w:r>
          <w:rPr>
            <w:rStyle w:val="Hyperlink"/>
            <w:color w:val="000000"/>
          </w:rPr>
          <w:t xml:space="preserve"> </w:t>
        </w:r>
        <w:r>
          <w:rPr>
            <w:rStyle w:val="Hyperlink"/>
            <w:color w:val="1155CC"/>
          </w:rPr>
          <w:t>https://doi.org/10.1891/1946-6560.3.2.231</w:t>
        </w:r>
      </w:hyperlink>
    </w:p>
    <w:p w14:paraId="2CAEB946" w14:textId="77777777" w:rsidR="00215800" w:rsidRDefault="00215800" w:rsidP="66C8CD3B">
      <w:pPr>
        <w:pStyle w:val="NormalWeb"/>
        <w:numPr>
          <w:ilvl w:val="0"/>
          <w:numId w:val="1"/>
        </w:numPr>
        <w:spacing w:before="0" w:beforeAutospacing="0" w:after="0" w:afterAutospacing="0" w:line="480" w:lineRule="auto"/>
        <w:textAlignment w:val="baseline"/>
        <w:rPr>
          <w:color w:val="000000"/>
        </w:rPr>
      </w:pPr>
      <w:r w:rsidRPr="66C8CD3B">
        <w:rPr>
          <w:color w:val="000000" w:themeColor="text1"/>
        </w:rPr>
        <w:t xml:space="preserve">Centers for Disease Control and Prevention. (2022). </w:t>
      </w:r>
      <w:r w:rsidRPr="66C8CD3B">
        <w:rPr>
          <w:i/>
          <w:iCs/>
          <w:color w:val="000000" w:themeColor="text1"/>
        </w:rPr>
        <w:t>National Intimate Partner and Sexual Violence Survey (NISVS): 2022 report on intimate partner violence.</w:t>
      </w:r>
      <w:hyperlink r:id="rId15">
        <w:r w:rsidRPr="66C8CD3B">
          <w:rPr>
            <w:rStyle w:val="Hyperlink"/>
            <w:i/>
            <w:iCs/>
            <w:color w:val="000000" w:themeColor="text1"/>
          </w:rPr>
          <w:t xml:space="preserve"> </w:t>
        </w:r>
        <w:r w:rsidRPr="66C8CD3B">
          <w:rPr>
            <w:rStyle w:val="Hyperlink"/>
            <w:color w:val="1155CC"/>
          </w:rPr>
          <w:t>https://www.cdc.gov/nisvs/documentation/NISVSReportonIPV_2022.pdf</w:t>
        </w:r>
      </w:hyperlink>
    </w:p>
    <w:p w14:paraId="46067D0F"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Centers for Disease Control and Prevention. (2024a). </w:t>
      </w:r>
      <w:r>
        <w:rPr>
          <w:i/>
          <w:iCs/>
          <w:color w:val="000000"/>
        </w:rPr>
        <w:t>About intimate partner violence.</w:t>
      </w:r>
      <w:hyperlink r:id="rId16" w:history="1">
        <w:r>
          <w:rPr>
            <w:rStyle w:val="Hyperlink"/>
            <w:i/>
            <w:iCs/>
            <w:color w:val="000000"/>
          </w:rPr>
          <w:t xml:space="preserve"> </w:t>
        </w:r>
        <w:r>
          <w:rPr>
            <w:rStyle w:val="Hyperlink"/>
            <w:color w:val="1155CC"/>
          </w:rPr>
          <w:t>https://www.cdc.gov/intimate-partner-violence/about/index.html</w:t>
        </w:r>
      </w:hyperlink>
    </w:p>
    <w:p w14:paraId="01F87EFF"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Centers for Disease Control and Prevention. (2024b). </w:t>
      </w:r>
      <w:r>
        <w:rPr>
          <w:i/>
          <w:iCs/>
          <w:color w:val="000000"/>
        </w:rPr>
        <w:t>About teen dating violence.</w:t>
      </w:r>
      <w:hyperlink r:id="rId17" w:history="1">
        <w:r>
          <w:rPr>
            <w:rStyle w:val="Hyperlink"/>
            <w:color w:val="000000"/>
          </w:rPr>
          <w:t xml:space="preserve"> </w:t>
        </w:r>
        <w:r>
          <w:rPr>
            <w:rStyle w:val="Hyperlink"/>
            <w:color w:val="1155CC"/>
          </w:rPr>
          <w:t>https://www.cdc.gov/intimate-partner-violence/about/about-teen-dating-violence.html</w:t>
        </w:r>
      </w:hyperlink>
    </w:p>
    <w:p w14:paraId="352CA83F"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Centers for Disease Control and Prevention. (2024c). </w:t>
      </w:r>
      <w:r>
        <w:rPr>
          <w:i/>
          <w:iCs/>
          <w:color w:val="000000"/>
        </w:rPr>
        <w:t>Risk factors for intimate partner violence.</w:t>
      </w:r>
      <w:hyperlink r:id="rId18" w:history="1">
        <w:r>
          <w:rPr>
            <w:rStyle w:val="Hyperlink"/>
            <w:color w:val="000000"/>
          </w:rPr>
          <w:t xml:space="preserve"> </w:t>
        </w:r>
        <w:r>
          <w:rPr>
            <w:rStyle w:val="Hyperlink"/>
            <w:color w:val="1155CC"/>
          </w:rPr>
          <w:t>https://www.cdc.gov/intimate-partner-violence/risk-factors/index.html</w:t>
        </w:r>
      </w:hyperlink>
    </w:p>
    <w:p w14:paraId="0D3F47CB" w14:textId="77777777" w:rsidR="00215800" w:rsidRDefault="00215800" w:rsidP="66C8CD3B">
      <w:pPr>
        <w:pStyle w:val="NormalWeb"/>
        <w:numPr>
          <w:ilvl w:val="0"/>
          <w:numId w:val="1"/>
        </w:numPr>
        <w:spacing w:before="0" w:beforeAutospacing="0" w:after="0" w:afterAutospacing="0" w:line="480" w:lineRule="auto"/>
        <w:textAlignment w:val="baseline"/>
        <w:rPr>
          <w:color w:val="000000"/>
        </w:rPr>
      </w:pPr>
      <w:r w:rsidRPr="66C8CD3B">
        <w:rPr>
          <w:color w:val="000000" w:themeColor="text1"/>
        </w:rPr>
        <w:t xml:space="preserve">Centers for Disease Control and Prevention. (2024d). Intimate partner violence before and during pregnancy — Nine U.S. jurisdictions, 2016–2022. </w:t>
      </w:r>
      <w:r w:rsidRPr="66C8CD3B">
        <w:rPr>
          <w:i/>
          <w:iCs/>
          <w:color w:val="000000" w:themeColor="text1"/>
        </w:rPr>
        <w:t>Morbidity and Mortality Weekly Report, 73</w:t>
      </w:r>
      <w:r w:rsidRPr="66C8CD3B">
        <w:rPr>
          <w:color w:val="000000" w:themeColor="text1"/>
        </w:rPr>
        <w:t xml:space="preserve">(48), 1055–1061. </w:t>
      </w:r>
      <w:hyperlink r:id="rId19">
        <w:r w:rsidRPr="66C8CD3B">
          <w:rPr>
            <w:rStyle w:val="Hyperlink"/>
            <w:color w:val="000000" w:themeColor="text1"/>
          </w:rPr>
          <w:t>https://www.cdc.gov/mmwr/volumes/73/wr/mm7348a1.htm</w:t>
        </w:r>
      </w:hyperlink>
    </w:p>
    <w:p w14:paraId="4FB1E520"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Center for Substance Abuse Treatment. (2013). </w:t>
      </w:r>
      <w:r>
        <w:rPr>
          <w:i/>
          <w:iCs/>
          <w:color w:val="000000"/>
        </w:rPr>
        <w:t>Behavioral health services for people who are homeless</w:t>
      </w:r>
      <w:r>
        <w:rPr>
          <w:color w:val="000000"/>
        </w:rPr>
        <w:t xml:space="preserve"> (Treatment Improvement Protocol [TIP] Series No. 55). Substance Abuse and Mental Health Services Administration.</w:t>
      </w:r>
      <w:hyperlink r:id="rId20" w:history="1">
        <w:r>
          <w:rPr>
            <w:rStyle w:val="Hyperlink"/>
            <w:color w:val="000000"/>
          </w:rPr>
          <w:t xml:space="preserve"> https://www.ncbi.nlm.nih.gov/books/NBK138725/</w:t>
        </w:r>
      </w:hyperlink>
    </w:p>
    <w:p w14:paraId="76AFE72C"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Charney, A. W., Mullins, N., Park, Y. J., &amp; Xu, J. (2020). On the Diagnostic and neurobiological origins of bipolar disorder. </w:t>
      </w:r>
      <w:r>
        <w:rPr>
          <w:i/>
          <w:iCs/>
          <w:color w:val="000000"/>
        </w:rPr>
        <w:t>Translational Psychiatry, 10</w:t>
      </w:r>
      <w:r>
        <w:rPr>
          <w:color w:val="000000"/>
        </w:rPr>
        <w:t>(1).</w:t>
      </w:r>
      <w:hyperlink r:id="rId21" w:history="1">
        <w:r>
          <w:rPr>
            <w:rStyle w:val="Hyperlink"/>
            <w:color w:val="000000"/>
          </w:rPr>
          <w:t xml:space="preserve"> </w:t>
        </w:r>
        <w:r>
          <w:rPr>
            <w:rStyle w:val="Hyperlink"/>
            <w:color w:val="1155CC"/>
          </w:rPr>
          <w:t>https://doi.org/10.1038/s41398-020-0796-8</w:t>
        </w:r>
      </w:hyperlink>
    </w:p>
    <w:p w14:paraId="55446810"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1B1B1B"/>
          <w:shd w:val="clear" w:color="auto" w:fill="FFFFFF"/>
        </w:rPr>
        <w:t xml:space="preserve">Coker, A. L., Bush, H. M., Cook-Craig, P. G., DeGue, S. A., Clear, E. R., Brancato, C. J., Fisher, B. S., &amp; Recktenwald, E. A. (2017). RCT Testing Bystander Effectiveness to Reduce Violence. </w:t>
      </w:r>
      <w:r>
        <w:rPr>
          <w:i/>
          <w:iCs/>
          <w:color w:val="1B1B1B"/>
          <w:shd w:val="clear" w:color="auto" w:fill="FFFFFF"/>
        </w:rPr>
        <w:t>American journal of preventive medicine</w:t>
      </w:r>
      <w:r>
        <w:rPr>
          <w:color w:val="1B1B1B"/>
          <w:shd w:val="clear" w:color="auto" w:fill="FFFFFF"/>
        </w:rPr>
        <w:t xml:space="preserve">, </w:t>
      </w:r>
      <w:r>
        <w:rPr>
          <w:i/>
          <w:iCs/>
          <w:color w:val="1B1B1B"/>
          <w:shd w:val="clear" w:color="auto" w:fill="FFFFFF"/>
        </w:rPr>
        <w:t>52</w:t>
      </w:r>
      <w:r>
        <w:rPr>
          <w:color w:val="1B1B1B"/>
          <w:shd w:val="clear" w:color="auto" w:fill="FFFFFF"/>
        </w:rPr>
        <w:t xml:space="preserve">(5), 566–578. </w:t>
      </w:r>
      <w:hyperlink r:id="rId22" w:history="1">
        <w:r>
          <w:rPr>
            <w:rStyle w:val="Hyperlink"/>
            <w:color w:val="1155CC"/>
            <w:shd w:val="clear" w:color="auto" w:fill="FFFFFF"/>
          </w:rPr>
          <w:t>https://doi.org/10.1016/j.amepre.2017.01.020</w:t>
        </w:r>
      </w:hyperlink>
      <w:r>
        <w:rPr>
          <w:color w:val="1B1B1B"/>
          <w:shd w:val="clear" w:color="auto" w:fill="FFFFFF"/>
        </w:rPr>
        <w:t> </w:t>
      </w:r>
    </w:p>
    <w:p w14:paraId="3C590900"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1B1B1B"/>
          <w:shd w:val="clear" w:color="auto" w:fill="FFFFFF"/>
        </w:rPr>
        <w:t xml:space="preserve">Collins, R. L., Wong, E. C., Breslau, J., Burnam, M. A., Cefalu, M., &amp; Roth, E. (2019). Social Marketing of Mental Health Treatment: California's Mental Illness Stigma Reduction Campaign. </w:t>
      </w:r>
      <w:r>
        <w:rPr>
          <w:i/>
          <w:iCs/>
          <w:color w:val="1B1B1B"/>
          <w:shd w:val="clear" w:color="auto" w:fill="FFFFFF"/>
        </w:rPr>
        <w:t>American journal of public health</w:t>
      </w:r>
      <w:r>
        <w:rPr>
          <w:color w:val="1B1B1B"/>
          <w:shd w:val="clear" w:color="auto" w:fill="FFFFFF"/>
        </w:rPr>
        <w:t xml:space="preserve">, </w:t>
      </w:r>
      <w:r>
        <w:rPr>
          <w:i/>
          <w:iCs/>
          <w:color w:val="1B1B1B"/>
          <w:shd w:val="clear" w:color="auto" w:fill="FFFFFF"/>
        </w:rPr>
        <w:t>109</w:t>
      </w:r>
      <w:r>
        <w:rPr>
          <w:color w:val="1B1B1B"/>
          <w:shd w:val="clear" w:color="auto" w:fill="FFFFFF"/>
        </w:rPr>
        <w:t xml:space="preserve">(S3), S228–S235. </w:t>
      </w:r>
      <w:hyperlink r:id="rId23" w:history="1">
        <w:r>
          <w:rPr>
            <w:rStyle w:val="Hyperlink"/>
            <w:color w:val="1155CC"/>
            <w:shd w:val="clear" w:color="auto" w:fill="FFFFFF"/>
          </w:rPr>
          <w:t>https://doi.org/10.2105/AJPH.2019.305129</w:t>
        </w:r>
      </w:hyperlink>
      <w:r>
        <w:rPr>
          <w:color w:val="1B1B1B"/>
          <w:shd w:val="clear" w:color="auto" w:fill="FFFFFF"/>
        </w:rPr>
        <w:t> </w:t>
      </w:r>
    </w:p>
    <w:p w14:paraId="3EBB2103"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Del Mar Bonnin, C., Montejo, L., Martinez-Aran, A., Solé, B., Comes, M., &amp; Torrent, C. (2022). Psychosocial recovery-oriented treatments in bipolar disorders. In B. Carpiniello, A. Vita, &amp; C. Mencacci (Eds.), </w:t>
      </w:r>
      <w:r>
        <w:rPr>
          <w:i/>
          <w:iCs/>
          <w:color w:val="000000"/>
        </w:rPr>
        <w:t>Recovery and Major Mental Disorders</w:t>
      </w:r>
      <w:r>
        <w:rPr>
          <w:color w:val="000000"/>
        </w:rPr>
        <w:t xml:space="preserve"> (pp. 173–197). Springer Nature Switzerland AG.</w:t>
      </w:r>
      <w:hyperlink r:id="rId24" w:history="1">
        <w:r>
          <w:rPr>
            <w:rStyle w:val="Hyperlink"/>
            <w:color w:val="000000"/>
          </w:rPr>
          <w:t xml:space="preserve"> </w:t>
        </w:r>
        <w:r>
          <w:rPr>
            <w:rStyle w:val="Hyperlink"/>
            <w:color w:val="1155CC"/>
          </w:rPr>
          <w:t>https://doi.org/10.1007/978-3-030-98301-7_11</w:t>
        </w:r>
      </w:hyperlink>
    </w:p>
    <w:p w14:paraId="2BEE4C07"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sidRPr="00F18318">
        <w:rPr>
          <w:color w:val="000000" w:themeColor="text1"/>
        </w:rPr>
        <w:t xml:space="preserve">Devries, K. M., Mak, J. Y. T., García-Moreno, C., Petzold, M., Child, J. C., Falder, G., … &amp; Watts, C. H. (2013). The global prevalence of intimate partner violence against women. </w:t>
      </w:r>
      <w:r w:rsidRPr="00F18318">
        <w:rPr>
          <w:i/>
          <w:color w:val="000000" w:themeColor="text1"/>
        </w:rPr>
        <w:t>Science, 340</w:t>
      </w:r>
      <w:r w:rsidRPr="00F18318">
        <w:rPr>
          <w:color w:val="000000" w:themeColor="text1"/>
        </w:rPr>
        <w:t>(6140), 1527–1528.</w:t>
      </w:r>
      <w:hyperlink r:id="rId25">
        <w:r w:rsidRPr="00F18318">
          <w:rPr>
            <w:rStyle w:val="Hyperlink"/>
            <w:color w:val="000000" w:themeColor="text1"/>
          </w:rPr>
          <w:t xml:space="preserve"> </w:t>
        </w:r>
        <w:r w:rsidRPr="00F18318">
          <w:rPr>
            <w:rStyle w:val="Hyperlink"/>
            <w:color w:val="1155CC"/>
          </w:rPr>
          <w:t>https://doi.org/10.1126/science.1240937</w:t>
        </w:r>
      </w:hyperlink>
    </w:p>
    <w:p w14:paraId="147F0EF0" w14:textId="1C7027EA" w:rsidR="50D75A06" w:rsidRDefault="50D75A06" w:rsidP="00F18318">
      <w:pPr>
        <w:pStyle w:val="NormalWeb"/>
        <w:numPr>
          <w:ilvl w:val="0"/>
          <w:numId w:val="1"/>
        </w:numPr>
        <w:spacing w:before="0" w:beforeAutospacing="0" w:after="0" w:afterAutospacing="0" w:line="480" w:lineRule="auto"/>
        <w:rPr>
          <w:color w:val="000000" w:themeColor="text1"/>
        </w:rPr>
      </w:pPr>
      <w:r w:rsidRPr="00F18318">
        <w:t xml:space="preserve">European Institute for Gender Equality. (2021). </w:t>
      </w:r>
      <w:r w:rsidRPr="00F18318">
        <w:rPr>
          <w:i/>
          <w:iCs/>
        </w:rPr>
        <w:t>Gender equality and socioeconomic recovery systems in EU member states</w:t>
      </w:r>
      <w:r w:rsidRPr="00F18318">
        <w:t>.</w:t>
      </w:r>
      <w:r w:rsidR="2496BAE3" w:rsidRPr="00F18318">
        <w:t xml:space="preserve"> </w:t>
      </w:r>
      <w:hyperlink r:id="rId26">
        <w:r w:rsidR="2496BAE3" w:rsidRPr="00F18318">
          <w:rPr>
            <w:rStyle w:val="Hyperlink"/>
          </w:rPr>
          <w:t>https://eige.europa.eu/</w:t>
        </w:r>
      </w:hyperlink>
    </w:p>
    <w:p w14:paraId="6FE77D82" w14:textId="77777777" w:rsidR="00215800" w:rsidRDefault="00215800" w:rsidP="66C8CD3B">
      <w:pPr>
        <w:pStyle w:val="NormalWeb"/>
        <w:numPr>
          <w:ilvl w:val="0"/>
          <w:numId w:val="1"/>
        </w:numPr>
        <w:spacing w:before="0" w:beforeAutospacing="0" w:after="0" w:afterAutospacing="0" w:line="480" w:lineRule="auto"/>
        <w:textAlignment w:val="baseline"/>
        <w:rPr>
          <w:color w:val="000000"/>
        </w:rPr>
      </w:pPr>
      <w:r>
        <w:rPr>
          <w:color w:val="1B1B1B"/>
          <w:shd w:val="clear" w:color="auto" w:fill="FFFFFF"/>
        </w:rPr>
        <w:t xml:space="preserve">Forthal, S., Sadowska, K., Pike, K. M., Balachander, M., Jacobsson, K., &amp; Hermosilla, S. (2022). Mental Health First Aid: A Systematic Review of Trainee Behavior and Recipient Mental Health Outcomes. </w:t>
      </w:r>
      <w:r w:rsidRPr="66C8CD3B">
        <w:rPr>
          <w:i/>
          <w:iCs/>
          <w:color w:val="1B1B1B"/>
          <w:shd w:val="clear" w:color="auto" w:fill="FFFFFF"/>
        </w:rPr>
        <w:t>Psychiatric services (Washington, D.C.)</w:t>
      </w:r>
      <w:r>
        <w:rPr>
          <w:color w:val="1B1B1B"/>
          <w:shd w:val="clear" w:color="auto" w:fill="FFFFFF"/>
        </w:rPr>
        <w:t xml:space="preserve">, </w:t>
      </w:r>
      <w:r w:rsidRPr="66C8CD3B">
        <w:rPr>
          <w:i/>
          <w:iCs/>
          <w:color w:val="1B1B1B"/>
          <w:shd w:val="clear" w:color="auto" w:fill="FFFFFF"/>
        </w:rPr>
        <w:t>73</w:t>
      </w:r>
      <w:r>
        <w:rPr>
          <w:color w:val="1B1B1B"/>
          <w:shd w:val="clear" w:color="auto" w:fill="FFFFFF"/>
        </w:rPr>
        <w:t xml:space="preserve">(4), 439–446. </w:t>
      </w:r>
      <w:hyperlink r:id="rId27" w:history="1">
        <w:r w:rsidRPr="66C8CD3B">
          <w:rPr>
            <w:rStyle w:val="Hyperlink"/>
            <w:color w:val="1155CC"/>
            <w:shd w:val="clear" w:color="auto" w:fill="FFFFFF"/>
          </w:rPr>
          <w:t>https://doi.org/10.1176/appi.ps.202100027</w:t>
        </w:r>
      </w:hyperlink>
    </w:p>
    <w:p w14:paraId="1EC6E3AF"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Georgia Department of Human Services. (n.d.). </w:t>
      </w:r>
      <w:r>
        <w:rPr>
          <w:i/>
          <w:iCs/>
          <w:color w:val="000000"/>
        </w:rPr>
        <w:t>Georgia Pathways to Coverage.</w:t>
      </w:r>
      <w:r>
        <w:rPr>
          <w:color w:val="000000"/>
        </w:rPr>
        <w:t xml:space="preserve"> Georgia Gateway.</w:t>
      </w:r>
      <w:hyperlink r:id="rId28" w:history="1">
        <w:r>
          <w:rPr>
            <w:rStyle w:val="Hyperlink"/>
            <w:color w:val="000000"/>
          </w:rPr>
          <w:t xml:space="preserve"> </w:t>
        </w:r>
        <w:r>
          <w:rPr>
            <w:rStyle w:val="Hyperlink"/>
            <w:color w:val="1155CC"/>
          </w:rPr>
          <w:t>https://www.gateway.ga.gov/access/</w:t>
        </w:r>
      </w:hyperlink>
    </w:p>
    <w:p w14:paraId="4F196300" w14:textId="77777777" w:rsidR="00215800" w:rsidRDefault="00215800" w:rsidP="66C8CD3B">
      <w:pPr>
        <w:pStyle w:val="NormalWeb"/>
        <w:numPr>
          <w:ilvl w:val="0"/>
          <w:numId w:val="1"/>
        </w:numPr>
        <w:spacing w:before="0" w:beforeAutospacing="0" w:after="0" w:afterAutospacing="0" w:line="480" w:lineRule="auto"/>
        <w:textAlignment w:val="baseline"/>
        <w:rPr>
          <w:color w:val="000000"/>
        </w:rPr>
      </w:pPr>
      <w:r w:rsidRPr="66C8CD3B">
        <w:rPr>
          <w:color w:val="000000" w:themeColor="text1"/>
        </w:rPr>
        <w:t>Gold, A. K., &amp; Sylvia, L. G. (2016, June 29). The role of sleep in bipolar disorder. Nature and science of sleep.</w:t>
      </w:r>
      <w:hyperlink r:id="rId29">
        <w:r w:rsidRPr="66C8CD3B">
          <w:rPr>
            <w:rStyle w:val="Hyperlink"/>
            <w:color w:val="000000" w:themeColor="text1"/>
          </w:rPr>
          <w:t xml:space="preserve"> </w:t>
        </w:r>
        <w:r w:rsidRPr="66C8CD3B">
          <w:rPr>
            <w:rStyle w:val="Hyperlink"/>
            <w:color w:val="1155CC"/>
          </w:rPr>
          <w:t>https://pmc.ncbi.nlm.nih.gov/articles/PMC4935164/</w:t>
        </w:r>
      </w:hyperlink>
      <w:r w:rsidRPr="66C8CD3B">
        <w:rPr>
          <w:color w:val="1155CC"/>
          <w:u w:val="single"/>
        </w:rPr>
        <w:t> </w:t>
      </w:r>
    </w:p>
    <w:p w14:paraId="1BF7DA35"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1B1B1B"/>
          <w:shd w:val="clear" w:color="auto" w:fill="FFFFFF"/>
        </w:rPr>
        <w:t xml:space="preserve">González-Sanguino, C., Potts, L. C., Milenova, M., &amp; Henderson, C. (2019). Time to Change's social marketing campaign for a new target population: results from 2017 to 2019. </w:t>
      </w:r>
      <w:r>
        <w:rPr>
          <w:i/>
          <w:iCs/>
          <w:color w:val="1B1B1B"/>
          <w:shd w:val="clear" w:color="auto" w:fill="FFFFFF"/>
        </w:rPr>
        <w:t>BMC psychiatry</w:t>
      </w:r>
      <w:r>
        <w:rPr>
          <w:color w:val="1B1B1B"/>
          <w:shd w:val="clear" w:color="auto" w:fill="FFFFFF"/>
        </w:rPr>
        <w:t xml:space="preserve">, </w:t>
      </w:r>
      <w:r>
        <w:rPr>
          <w:i/>
          <w:iCs/>
          <w:color w:val="1B1B1B"/>
          <w:shd w:val="clear" w:color="auto" w:fill="FFFFFF"/>
        </w:rPr>
        <w:t>19</w:t>
      </w:r>
      <w:r>
        <w:rPr>
          <w:color w:val="1B1B1B"/>
          <w:shd w:val="clear" w:color="auto" w:fill="FFFFFF"/>
        </w:rPr>
        <w:t xml:space="preserve">(1), 417. </w:t>
      </w:r>
      <w:hyperlink r:id="rId30" w:history="1">
        <w:r>
          <w:rPr>
            <w:rStyle w:val="Hyperlink"/>
            <w:color w:val="1155CC"/>
            <w:shd w:val="clear" w:color="auto" w:fill="FFFFFF"/>
          </w:rPr>
          <w:t>https://doi.org/10.1186/s12888-019-2415-x</w:t>
        </w:r>
      </w:hyperlink>
      <w:r>
        <w:rPr>
          <w:color w:val="1B1B1B"/>
          <w:shd w:val="clear" w:color="auto" w:fill="FFFFFF"/>
        </w:rPr>
        <w:t> </w:t>
      </w:r>
    </w:p>
    <w:p w14:paraId="0E7AE99D"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Hill, A., Pallitto, C., McCleary-Sills, J., &amp; Garcia-Moreno, C. (2016). A systematic review and meta-analysis of intimate partner violence during pregnancy and selected birth outcomes. </w:t>
      </w:r>
      <w:r>
        <w:rPr>
          <w:i/>
          <w:iCs/>
          <w:color w:val="000000"/>
        </w:rPr>
        <w:t>International Journal of Gynecology &amp; Obstetrics, 133</w:t>
      </w:r>
      <w:r>
        <w:rPr>
          <w:color w:val="000000"/>
        </w:rPr>
        <w:t>(3), 269–276.</w:t>
      </w:r>
      <w:hyperlink r:id="rId31" w:history="1">
        <w:r>
          <w:rPr>
            <w:rStyle w:val="Hyperlink"/>
            <w:color w:val="000000"/>
          </w:rPr>
          <w:t xml:space="preserve"> </w:t>
        </w:r>
        <w:r>
          <w:rPr>
            <w:rStyle w:val="Hyperlink"/>
            <w:color w:val="1155CC"/>
          </w:rPr>
          <w:t>https://doi.org/10.1016/j.ijgo.2015.10.023</w:t>
        </w:r>
      </w:hyperlink>
    </w:p>
    <w:p w14:paraId="1C60F505"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Howell, K. H., Miller-Graff, L. E., Hasselle, A. J., &amp; Scrafford, K. E. (2016). The unique needs of mothers experiencing intimate partner violence: A review of current evidence and recommendations. </w:t>
      </w:r>
      <w:r>
        <w:rPr>
          <w:i/>
          <w:iCs/>
          <w:color w:val="000000"/>
        </w:rPr>
        <w:t>Journal of Child &amp; Family Studies, 25</w:t>
      </w:r>
      <w:r>
        <w:rPr>
          <w:color w:val="000000"/>
        </w:rPr>
        <w:t>(1), 137–151.</w:t>
      </w:r>
      <w:hyperlink r:id="rId32" w:history="1">
        <w:r>
          <w:rPr>
            <w:rStyle w:val="Hyperlink"/>
            <w:color w:val="000000"/>
          </w:rPr>
          <w:t xml:space="preserve"> </w:t>
        </w:r>
        <w:r>
          <w:rPr>
            <w:rStyle w:val="Hyperlink"/>
            <w:color w:val="1155CC"/>
          </w:rPr>
          <w:t>https://doi.org/10.1007/s10826-015-0199-7</w:t>
        </w:r>
      </w:hyperlink>
    </w:p>
    <w:p w14:paraId="4EA47125" w14:textId="77777777" w:rsidR="00215800" w:rsidRDefault="00215800" w:rsidP="66C8CD3B">
      <w:pPr>
        <w:pStyle w:val="NormalWeb"/>
        <w:numPr>
          <w:ilvl w:val="0"/>
          <w:numId w:val="1"/>
        </w:numPr>
        <w:spacing w:before="0" w:beforeAutospacing="0" w:after="0" w:afterAutospacing="0" w:line="480" w:lineRule="auto"/>
        <w:textAlignment w:val="baseline"/>
        <w:rPr>
          <w:color w:val="000000"/>
        </w:rPr>
      </w:pPr>
      <w:r w:rsidRPr="66C8CD3B">
        <w:rPr>
          <w:color w:val="000000" w:themeColor="text1"/>
        </w:rPr>
        <w:t xml:space="preserve">Institute for Women’s Policy Research. (2020). </w:t>
      </w:r>
      <w:r w:rsidRPr="66C8CD3B">
        <w:rPr>
          <w:i/>
          <w:iCs/>
          <w:color w:val="000000" w:themeColor="text1"/>
        </w:rPr>
        <w:t>Dreams Deferred : A Survey on the Impact of Intimate Partner Violence on Survivors’ Education, Careers, and Economic Security</w:t>
      </w:r>
      <w:r w:rsidRPr="66C8CD3B">
        <w:rPr>
          <w:color w:val="000000" w:themeColor="text1"/>
        </w:rPr>
        <w:t>.</w:t>
      </w:r>
      <w:hyperlink r:id="rId33">
        <w:r w:rsidRPr="66C8CD3B">
          <w:rPr>
            <w:rStyle w:val="Hyperlink"/>
            <w:color w:val="000000" w:themeColor="text1"/>
          </w:rPr>
          <w:t xml:space="preserve"> </w:t>
        </w:r>
        <w:r w:rsidRPr="66C8CD3B">
          <w:rPr>
            <w:rStyle w:val="Hyperlink"/>
            <w:color w:val="1155CC"/>
          </w:rPr>
          <w:t>https://iwpr.org/dreams-deferred-a-survey-on-the-impact-of-intimate-partner-violence-on-survivors-education-careers-and-economic-security/</w:t>
        </w:r>
      </w:hyperlink>
    </w:p>
    <w:p w14:paraId="1595785A"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Jain, A. (2023, February 20). Bipolar disorder. StatPearls [Internet].</w:t>
      </w:r>
      <w:hyperlink r:id="rId34" w:history="1">
        <w:r>
          <w:rPr>
            <w:rStyle w:val="Hyperlink"/>
            <w:color w:val="000000"/>
          </w:rPr>
          <w:t xml:space="preserve"> </w:t>
        </w:r>
        <w:r>
          <w:rPr>
            <w:rStyle w:val="Hyperlink"/>
            <w:color w:val="1155CC"/>
          </w:rPr>
          <w:t>https://www.ncbi.nlm.nih.gov/books/NBK558998/</w:t>
        </w:r>
      </w:hyperlink>
    </w:p>
    <w:p w14:paraId="2236DB5B"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Johnson, L., et al. (2022). Examining the impact of economic abuse on survivors of intimate partner violence. </w:t>
      </w:r>
      <w:r>
        <w:rPr>
          <w:i/>
          <w:iCs/>
          <w:color w:val="000000"/>
        </w:rPr>
        <w:t>BMC Public Health</w:t>
      </w:r>
      <w:r>
        <w:rPr>
          <w:color w:val="000000"/>
        </w:rPr>
        <w:t>, 22, Article 13297.</w:t>
      </w:r>
      <w:hyperlink r:id="rId35" w:history="1">
        <w:r>
          <w:rPr>
            <w:rStyle w:val="Hyperlink"/>
            <w:color w:val="000000"/>
          </w:rPr>
          <w:t xml:space="preserve"> </w:t>
        </w:r>
        <w:r>
          <w:rPr>
            <w:rStyle w:val="Hyperlink"/>
            <w:color w:val="1155CC"/>
          </w:rPr>
          <w:t>https://doi.org/10.1186/s12889-022-13297-4</w:t>
        </w:r>
      </w:hyperlink>
    </w:p>
    <w:p w14:paraId="2D89F08D"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Kilbourne, A. M., Goodrich D. E., O’Donnell A. N., &amp; Miller C. J. (2012, September). Integrating bipolar disorder management in primary care. </w:t>
      </w:r>
      <w:r>
        <w:rPr>
          <w:i/>
          <w:iCs/>
          <w:color w:val="000000"/>
        </w:rPr>
        <w:t>Current Psychiatry Reports, 14</w:t>
      </w:r>
      <w:r>
        <w:rPr>
          <w:color w:val="000000"/>
        </w:rPr>
        <w:t xml:space="preserve">(6), 687-695. </w:t>
      </w:r>
      <w:hyperlink r:id="rId36" w:history="1">
        <w:r>
          <w:rPr>
            <w:rStyle w:val="Hyperlink"/>
            <w:color w:val="000000"/>
            <w:shd w:val="clear" w:color="auto" w:fill="FFFFFF"/>
          </w:rPr>
          <w:t>10.1007/s11920-012-0325-4</w:t>
        </w:r>
      </w:hyperlink>
      <w:r>
        <w:rPr>
          <w:color w:val="000000"/>
        </w:rPr>
        <w:t>. </w:t>
      </w:r>
    </w:p>
    <w:p w14:paraId="1FDE176F"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Latifian, M., Abdi, K., Rehab, G., Shariful-Islam, S., &amp; Alikhani, R. (2023, February 20). Stigma in people living with bipolar disorder and their families: a systemic review. </w:t>
      </w:r>
      <w:r>
        <w:rPr>
          <w:i/>
          <w:iCs/>
          <w:color w:val="000000"/>
        </w:rPr>
        <w:t>International Journal of Bipolar Disorders, 11</w:t>
      </w:r>
      <w:r>
        <w:rPr>
          <w:color w:val="000000"/>
        </w:rPr>
        <w:t>(9).</w:t>
      </w:r>
      <w:hyperlink r:id="rId37" w:history="1">
        <w:r>
          <w:rPr>
            <w:rStyle w:val="Hyperlink"/>
            <w:color w:val="000000"/>
          </w:rPr>
          <w:t xml:space="preserve"> </w:t>
        </w:r>
        <w:r>
          <w:rPr>
            <w:rStyle w:val="Hyperlink"/>
            <w:color w:val="1155CC"/>
          </w:rPr>
          <w:t>https://journalbipolardisorders.springeropen.com/articles/10.1186/s40345-023-00290-y</w:t>
        </w:r>
      </w:hyperlink>
    </w:p>
    <w:p w14:paraId="2635B85F"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sidRPr="00F18318">
        <w:rPr>
          <w:color w:val="000000" w:themeColor="text1"/>
        </w:rPr>
        <w:t xml:space="preserve">Luciano, A., Drake, R. E., Bond, G. R., Becker, D. R., Carpenter-Song, E., Lord, S., Swarbrick, P., &amp; Swanson, S. J. (2014). Evidence-based supported employment for people with severe mental illness: Past, current, and future research. </w:t>
      </w:r>
      <w:r w:rsidRPr="00F18318">
        <w:rPr>
          <w:i/>
          <w:color w:val="000000" w:themeColor="text1"/>
        </w:rPr>
        <w:t>Journal of Vocational Rehabilitation</w:t>
      </w:r>
      <w:r w:rsidRPr="00F18318">
        <w:rPr>
          <w:color w:val="000000" w:themeColor="text1"/>
        </w:rPr>
        <w:t xml:space="preserve">, 40(1), 1-13. </w:t>
      </w:r>
      <w:hyperlink r:id="rId38">
        <w:r w:rsidRPr="00F18318">
          <w:rPr>
            <w:rStyle w:val="Hyperlink"/>
            <w:color w:val="1155CC"/>
          </w:rPr>
          <w:t>https://doi.org/10.3233/JVR-130666</w:t>
        </w:r>
      </w:hyperlink>
    </w:p>
    <w:p w14:paraId="6E12E9EA" w14:textId="7B53D12D" w:rsidR="004516AC" w:rsidRDefault="004516AC" w:rsidP="00F18318">
      <w:pPr>
        <w:pStyle w:val="NormalWeb"/>
        <w:numPr>
          <w:ilvl w:val="0"/>
          <w:numId w:val="1"/>
        </w:numPr>
        <w:spacing w:before="0" w:beforeAutospacing="0" w:after="0" w:afterAutospacing="0" w:line="480" w:lineRule="auto"/>
      </w:pPr>
      <w:r w:rsidRPr="00F18318">
        <w:t xml:space="preserve">Marwaha, S., Durrani, A., &amp; Singh, S. (2013). Employment outcomes in people with bipolar disorder: A systematic review. </w:t>
      </w:r>
      <w:r w:rsidRPr="00F18318">
        <w:rPr>
          <w:i/>
          <w:iCs/>
        </w:rPr>
        <w:t>Acta Psychiatrica Scandinavica, 128</w:t>
      </w:r>
      <w:r w:rsidRPr="00F18318">
        <w:t>(3), 179–193.</w:t>
      </w:r>
      <w:r w:rsidR="78D4992C" w:rsidRPr="00F18318">
        <w:t xml:space="preserve"> </w:t>
      </w:r>
      <w:hyperlink r:id="rId39">
        <w:r w:rsidR="78D4992C" w:rsidRPr="00F18318">
          <w:rPr>
            <w:rStyle w:val="Hyperlink"/>
          </w:rPr>
          <w:t>https://doi.org/10.1111/acps.12087</w:t>
        </w:r>
      </w:hyperlink>
    </w:p>
    <w:p w14:paraId="75EECD14"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Mayo Clinic Staff. “Bipolar Disorder — Symptoms and Causes.” Mayo Clinic, 14 Aug. 2024.</w:t>
      </w:r>
      <w:hyperlink r:id="rId40" w:history="1">
        <w:r>
          <w:rPr>
            <w:rStyle w:val="Hyperlink"/>
            <w:color w:val="1155CC"/>
          </w:rPr>
          <w:t>www.mayoclinic.org/diseases-conditions/bipolar-disorder/symptoms-causes/syc-20355955</w:t>
        </w:r>
      </w:hyperlink>
      <w:r>
        <w:rPr>
          <w:color w:val="000000"/>
        </w:rPr>
        <w:t>.</w:t>
      </w:r>
    </w:p>
    <w:p w14:paraId="653E7DC9"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Mercy Health Center. (n.d.). </w:t>
      </w:r>
      <w:r>
        <w:rPr>
          <w:i/>
          <w:iCs/>
          <w:color w:val="000000"/>
        </w:rPr>
        <w:t>Services and eligibility information.</w:t>
      </w:r>
      <w:r>
        <w:rPr>
          <w:color w:val="000000"/>
        </w:rPr>
        <w:t xml:space="preserve"> Mercy Health Center.</w:t>
      </w:r>
      <w:hyperlink r:id="rId41" w:history="1">
        <w:r>
          <w:rPr>
            <w:rStyle w:val="Hyperlink"/>
            <w:color w:val="000000"/>
          </w:rPr>
          <w:t xml:space="preserve"> </w:t>
        </w:r>
        <w:r>
          <w:rPr>
            <w:rStyle w:val="Hyperlink"/>
            <w:color w:val="1155CC"/>
          </w:rPr>
          <w:t>https://www.mercyhealthcenter.net/</w:t>
        </w:r>
      </w:hyperlink>
    </w:p>
    <w:p w14:paraId="296C7C3C"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Mind UK. (2022, February). Bipolar disorder.</w:t>
      </w:r>
      <w:hyperlink r:id="rId42" w:history="1">
        <w:r>
          <w:rPr>
            <w:rStyle w:val="Hyperlink"/>
            <w:color w:val="000000"/>
          </w:rPr>
          <w:t xml:space="preserve"> </w:t>
        </w:r>
        <w:r>
          <w:rPr>
            <w:rStyle w:val="Hyperlink"/>
            <w:color w:val="1155CC"/>
          </w:rPr>
          <w:t>https://www.mind.org.uk/information-support/types-of-mental-health-problems/bipolar-disorder/causes-of-bipolar/</w:t>
        </w:r>
      </w:hyperlink>
      <w:r>
        <w:rPr>
          <w:color w:val="000000"/>
        </w:rPr>
        <w:t>.</w:t>
      </w:r>
    </w:p>
    <w:p w14:paraId="41E6D912"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sidRPr="00F18318">
        <w:rPr>
          <w:color w:val="000000" w:themeColor="text1"/>
        </w:rPr>
        <w:t>National Institute of Mental Health. “Bipolar Disorder.” National Institute of Mental Health, U.S. Department of Health &amp; Human Services, revised 2025,</w:t>
      </w:r>
      <w:hyperlink r:id="rId43">
        <w:r w:rsidRPr="00F18318">
          <w:rPr>
            <w:rStyle w:val="Hyperlink"/>
            <w:color w:val="000000" w:themeColor="text1"/>
          </w:rPr>
          <w:t xml:space="preserve"> </w:t>
        </w:r>
        <w:r w:rsidRPr="00F18318">
          <w:rPr>
            <w:rStyle w:val="Hyperlink"/>
            <w:color w:val="1155CC"/>
          </w:rPr>
          <w:t>www.nimh.nih.gov/health/publications/bipolar-disorder</w:t>
        </w:r>
      </w:hyperlink>
      <w:r w:rsidRPr="00F18318">
        <w:rPr>
          <w:color w:val="000000" w:themeColor="text1"/>
        </w:rPr>
        <w:t>.</w:t>
      </w:r>
    </w:p>
    <w:p w14:paraId="636F6DB2" w14:textId="6BD3101F" w:rsidR="4FAB55CA" w:rsidRDefault="4FAB55CA" w:rsidP="00F18318">
      <w:pPr>
        <w:pStyle w:val="NormalWeb"/>
        <w:numPr>
          <w:ilvl w:val="0"/>
          <w:numId w:val="1"/>
        </w:numPr>
        <w:spacing w:before="0" w:beforeAutospacing="0" w:after="0" w:afterAutospacing="0" w:line="480" w:lineRule="auto"/>
      </w:pPr>
      <w:r w:rsidRPr="00F18318">
        <w:t xml:space="preserve">New York City Office to End Domestic and Gender-Based Violence. (2023). </w:t>
      </w:r>
      <w:r w:rsidRPr="00F18318">
        <w:rPr>
          <w:i/>
          <w:iCs/>
        </w:rPr>
        <w:t>Economic empowerment program evaluation report</w:t>
      </w:r>
      <w:r w:rsidRPr="00F18318">
        <w:t>. City of New York.</w:t>
      </w:r>
      <w:r w:rsidR="117B5840" w:rsidRPr="00F18318">
        <w:t xml:space="preserve"> </w:t>
      </w:r>
      <w:hyperlink r:id="rId44">
        <w:r w:rsidR="117B5840" w:rsidRPr="00F18318">
          <w:rPr>
            <w:rStyle w:val="Hyperlink"/>
          </w:rPr>
          <w:t>https://www.nyc.gov/site/ocdv/services/economic-empowerment.page</w:t>
        </w:r>
      </w:hyperlink>
    </w:p>
    <w:p w14:paraId="5022681F"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Parial, S. (2015, July). Bipolar disorder in women. </w:t>
      </w:r>
      <w:r>
        <w:rPr>
          <w:i/>
          <w:iCs/>
          <w:color w:val="000000"/>
        </w:rPr>
        <w:t>Indian Journal of Psychiatry</w:t>
      </w:r>
      <w:r>
        <w:rPr>
          <w:color w:val="000000"/>
        </w:rPr>
        <w:t>.</w:t>
      </w:r>
      <w:hyperlink r:id="rId45" w:history="1">
        <w:r>
          <w:rPr>
            <w:rStyle w:val="Hyperlink"/>
            <w:color w:val="000000"/>
          </w:rPr>
          <w:t xml:space="preserve"> </w:t>
        </w:r>
        <w:r>
          <w:rPr>
            <w:rStyle w:val="Hyperlink"/>
            <w:color w:val="1155CC"/>
          </w:rPr>
          <w:t>https://pmc.ncbi.nlm.nih.gov/articles/PMC4539870/</w:t>
        </w:r>
      </w:hyperlink>
    </w:p>
    <w:p w14:paraId="53014C45"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Peterson, C., Kearns, M. C., McIntosh, W. L., Estefan, L. F., Nicolaidis, C., McCollister, K. E., … &amp; Florence, C. (2018). Lifetime economic burden of intimate partner violence among U.S. adults. </w:t>
      </w:r>
      <w:r>
        <w:rPr>
          <w:i/>
          <w:iCs/>
          <w:color w:val="000000"/>
        </w:rPr>
        <w:t>American Journal of Preventive Medicine, 55</w:t>
      </w:r>
      <w:r>
        <w:rPr>
          <w:color w:val="000000"/>
        </w:rPr>
        <w:t>(4), 433–444.</w:t>
      </w:r>
      <w:hyperlink r:id="rId46" w:history="1">
        <w:r>
          <w:rPr>
            <w:rStyle w:val="Hyperlink"/>
            <w:color w:val="000000"/>
          </w:rPr>
          <w:t xml:space="preserve"> </w:t>
        </w:r>
        <w:r>
          <w:rPr>
            <w:rStyle w:val="Hyperlink"/>
            <w:color w:val="1155CC"/>
          </w:rPr>
          <w:t>https://doi.org/10.1016/j.amepre.2018.04.049</w:t>
        </w:r>
      </w:hyperlink>
      <w:r>
        <w:rPr>
          <w:color w:val="1155CC"/>
          <w:u w:val="single"/>
        </w:rPr>
        <w:t> </w:t>
      </w:r>
    </w:p>
    <w:p w14:paraId="73D7D931"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Project SAFE. (n.d.). </w:t>
      </w:r>
      <w:hyperlink r:id="rId47" w:history="1">
        <w:r>
          <w:rPr>
            <w:rStyle w:val="Hyperlink"/>
            <w:color w:val="1155CC"/>
          </w:rPr>
          <w:t>https://www.project-safe.org/</w:t>
        </w:r>
      </w:hyperlink>
      <w:r>
        <w:rPr>
          <w:color w:val="000000"/>
        </w:rPr>
        <w:t> </w:t>
      </w:r>
    </w:p>
    <w:p w14:paraId="3AB41CBF"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Smith, S. G., Zhang, X., Basile, K. C., Merrick, M. T., Wang, J., Kresnow, M., &amp; Chen, J. (2018). </w:t>
      </w:r>
      <w:r>
        <w:rPr>
          <w:i/>
          <w:iCs/>
          <w:color w:val="000000"/>
        </w:rPr>
        <w:t>The National Intimate Partner and Sexual Violence Survey: 2015 data brief – Updated release</w:t>
      </w:r>
      <w:r>
        <w:rPr>
          <w:color w:val="000000"/>
        </w:rPr>
        <w:t>. Centers for Disease Control and Prevention.</w:t>
      </w:r>
      <w:hyperlink r:id="rId48" w:history="1">
        <w:r>
          <w:rPr>
            <w:rStyle w:val="Hyperlink"/>
            <w:color w:val="000000"/>
          </w:rPr>
          <w:t xml:space="preserve"> </w:t>
        </w:r>
        <w:r>
          <w:rPr>
            <w:rStyle w:val="Hyperlink"/>
            <w:color w:val="1155CC"/>
          </w:rPr>
          <w:t>https://www.cdc.gov/violenceprevention/pdf/2015data-brief508.pdf</w:t>
        </w:r>
      </w:hyperlink>
    </w:p>
    <w:p w14:paraId="2ABF8D40" w14:textId="77777777" w:rsidR="00215800" w:rsidRDefault="00215800" w:rsidP="66C8CD3B">
      <w:pPr>
        <w:pStyle w:val="NormalWeb"/>
        <w:numPr>
          <w:ilvl w:val="0"/>
          <w:numId w:val="1"/>
        </w:numPr>
        <w:spacing w:before="0" w:beforeAutospacing="0" w:after="0" w:afterAutospacing="0" w:line="480" w:lineRule="auto"/>
        <w:textAlignment w:val="baseline"/>
        <w:rPr>
          <w:color w:val="000000"/>
        </w:rPr>
      </w:pPr>
      <w:r w:rsidRPr="66C8CD3B">
        <w:rPr>
          <w:color w:val="000000" w:themeColor="text1"/>
        </w:rPr>
        <w:t xml:space="preserve">Spoorthy, M. S., Chakrabarti, S., &amp; Grover, S. (2019). Comorbidity of bipolar and anxiety disorders: An overview of trends in Research. </w:t>
      </w:r>
      <w:r w:rsidRPr="66C8CD3B">
        <w:rPr>
          <w:i/>
          <w:iCs/>
          <w:color w:val="000000" w:themeColor="text1"/>
        </w:rPr>
        <w:t>World Journal of Psychiatry, 9</w:t>
      </w:r>
      <w:r w:rsidRPr="66C8CD3B">
        <w:rPr>
          <w:color w:val="000000" w:themeColor="text1"/>
        </w:rPr>
        <w:t>(1), 7–29. doi:10.5498/wjp.v9.i1.</w:t>
      </w:r>
    </w:p>
    <w:p w14:paraId="119A9D21"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1B1B1B"/>
          <w:shd w:val="clear" w:color="auto" w:fill="FFFFFF"/>
        </w:rPr>
        <w:t xml:space="preserve">Stuart, H., Chen, S. P., Christie, R., Dobson, K., Kirsh, B., Knaak, S., Koller, M., Krupa, T., Lauria-Horner, B., Luong, D., Modgill, G., Patten, S. B., Pietrus, M., Szeto, A., &amp; Whitley, R. (2014). Opening minds in Canada: targeting change. </w:t>
      </w:r>
      <w:r>
        <w:rPr>
          <w:i/>
          <w:iCs/>
          <w:color w:val="1B1B1B"/>
          <w:shd w:val="clear" w:color="auto" w:fill="FFFFFF"/>
        </w:rPr>
        <w:t>Canadian journal of psychiatry. Revue canadienne de psychiatrie</w:t>
      </w:r>
      <w:r>
        <w:rPr>
          <w:color w:val="1B1B1B"/>
          <w:shd w:val="clear" w:color="auto" w:fill="FFFFFF"/>
        </w:rPr>
        <w:t xml:space="preserve">, </w:t>
      </w:r>
      <w:r>
        <w:rPr>
          <w:i/>
          <w:iCs/>
          <w:color w:val="1B1B1B"/>
          <w:shd w:val="clear" w:color="auto" w:fill="FFFFFF"/>
        </w:rPr>
        <w:t>59</w:t>
      </w:r>
      <w:r>
        <w:rPr>
          <w:color w:val="1B1B1B"/>
          <w:shd w:val="clear" w:color="auto" w:fill="FFFFFF"/>
        </w:rPr>
        <w:t xml:space="preserve">(10 Suppl 1), S13–S18. </w:t>
      </w:r>
      <w:hyperlink r:id="rId49" w:history="1">
        <w:r>
          <w:rPr>
            <w:rStyle w:val="Hyperlink"/>
            <w:color w:val="1155CC"/>
            <w:shd w:val="clear" w:color="auto" w:fill="FFFFFF"/>
          </w:rPr>
          <w:t>https://doi.org/10.1177/070674371405901s05</w:t>
        </w:r>
      </w:hyperlink>
      <w:r>
        <w:rPr>
          <w:color w:val="1B1B1B"/>
          <w:shd w:val="clear" w:color="auto" w:fill="FFFFFF"/>
        </w:rPr>
        <w:t> </w:t>
      </w:r>
    </w:p>
    <w:p w14:paraId="738ABC66" w14:textId="77777777" w:rsidR="00215800" w:rsidRDefault="00215800" w:rsidP="00215800">
      <w:pPr>
        <w:pStyle w:val="NormalWeb"/>
        <w:numPr>
          <w:ilvl w:val="0"/>
          <w:numId w:val="1"/>
        </w:numPr>
        <w:spacing w:before="0" w:beforeAutospacing="0" w:after="0" w:afterAutospacing="0" w:line="480" w:lineRule="auto"/>
        <w:textAlignment w:val="baseline"/>
        <w:rPr>
          <w:color w:val="1B1B1B"/>
        </w:rPr>
      </w:pPr>
      <w:r>
        <w:rPr>
          <w:color w:val="1B1B1B"/>
          <w:shd w:val="clear" w:color="auto" w:fill="FFFFFF"/>
        </w:rPr>
        <w:t xml:space="preserve">Tsai, J., Mares, A. S., &amp; Rosenheck, R. A. (2020). A multisite comparison of supported housing for chronically homeless adults: “Housing First” versus traditional models. </w:t>
      </w:r>
      <w:r>
        <w:rPr>
          <w:i/>
          <w:iCs/>
          <w:color w:val="1B1B1B"/>
          <w:shd w:val="clear" w:color="auto" w:fill="FFFFFF"/>
        </w:rPr>
        <w:t>Psychiatric Services, 71</w:t>
      </w:r>
      <w:r>
        <w:rPr>
          <w:color w:val="1B1B1B"/>
          <w:shd w:val="clear" w:color="auto" w:fill="FFFFFF"/>
        </w:rPr>
        <w:t xml:space="preserve">(12), 1245–1253. </w:t>
      </w:r>
      <w:hyperlink r:id="rId50" w:history="1">
        <w:r>
          <w:rPr>
            <w:rStyle w:val="Hyperlink"/>
            <w:color w:val="1155CC"/>
            <w:shd w:val="clear" w:color="auto" w:fill="FFFFFF"/>
          </w:rPr>
          <w:t>https://doi.org/10.1176/appi.ps.202000166</w:t>
        </w:r>
      </w:hyperlink>
      <w:r>
        <w:rPr>
          <w:color w:val="1B1B1B"/>
          <w:shd w:val="clear" w:color="auto" w:fill="FFFFFF"/>
        </w:rPr>
        <w:t> </w:t>
      </w:r>
    </w:p>
    <w:p w14:paraId="2C6A84D9"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sidRPr="00F18318">
        <w:rPr>
          <w:color w:val="000000" w:themeColor="text1"/>
        </w:rPr>
        <w:t xml:space="preserve">U.S. Department of Health and Human Services. (n.d.-a). </w:t>
      </w:r>
      <w:r w:rsidRPr="00F18318">
        <w:rPr>
          <w:i/>
          <w:color w:val="000000" w:themeColor="text1"/>
        </w:rPr>
        <w:t>Bipolar disorder.</w:t>
      </w:r>
      <w:r w:rsidRPr="00F18318">
        <w:rPr>
          <w:color w:val="000000" w:themeColor="text1"/>
        </w:rPr>
        <w:t xml:space="preserve"> National Institute of Mental Health.</w:t>
      </w:r>
      <w:hyperlink r:id="rId51">
        <w:r w:rsidRPr="00F18318">
          <w:rPr>
            <w:rStyle w:val="Hyperlink"/>
            <w:color w:val="000000" w:themeColor="text1"/>
          </w:rPr>
          <w:t xml:space="preserve"> </w:t>
        </w:r>
        <w:r w:rsidRPr="00F18318">
          <w:rPr>
            <w:rStyle w:val="Hyperlink"/>
            <w:color w:val="1155CC"/>
          </w:rPr>
          <w:t>https://www.nimh.nih.gov/health/statistics/bipolar-disorder</w:t>
        </w:r>
      </w:hyperlink>
    </w:p>
    <w:p w14:paraId="558DE668" w14:textId="3006A31A" w:rsidR="03F94BB5" w:rsidRDefault="03F94BB5" w:rsidP="00F18318">
      <w:pPr>
        <w:pStyle w:val="NormalWeb"/>
        <w:numPr>
          <w:ilvl w:val="0"/>
          <w:numId w:val="1"/>
        </w:numPr>
        <w:spacing w:before="0" w:beforeAutospacing="0" w:after="0" w:afterAutospacing="0" w:line="480" w:lineRule="auto"/>
      </w:pPr>
      <w:r w:rsidRPr="00F18318">
        <w:t xml:space="preserve">Women’s Economic Council. (2020). </w:t>
      </w:r>
      <w:r w:rsidRPr="00F18318">
        <w:rPr>
          <w:i/>
          <w:iCs/>
        </w:rPr>
        <w:t>Economic security initiatives for women recovering from violence</w:t>
      </w:r>
      <w:r w:rsidRPr="00F18318">
        <w:t xml:space="preserve">. </w:t>
      </w:r>
      <w:hyperlink r:id="rId52">
        <w:r w:rsidRPr="00F18318">
          <w:rPr>
            <w:rStyle w:val="Hyperlink"/>
          </w:rPr>
          <w:t>https://womenseconomiccouncil.ca/</w:t>
        </w:r>
      </w:hyperlink>
    </w:p>
    <w:p w14:paraId="0D7752F9" w14:textId="77777777" w:rsidR="00215800" w:rsidRDefault="00215800" w:rsidP="00215800">
      <w:pPr>
        <w:pStyle w:val="NormalWeb"/>
        <w:numPr>
          <w:ilvl w:val="0"/>
          <w:numId w:val="1"/>
        </w:numPr>
        <w:spacing w:before="0" w:beforeAutospacing="0" w:after="0" w:afterAutospacing="0" w:line="480" w:lineRule="auto"/>
        <w:textAlignment w:val="baseline"/>
        <w:rPr>
          <w:color w:val="1155CC"/>
        </w:rPr>
      </w:pPr>
      <w:r>
        <w:rPr>
          <w:color w:val="000000"/>
        </w:rPr>
        <w:t xml:space="preserve">U.S. Department of Housing and Urban Development. (2023). </w:t>
      </w:r>
      <w:r>
        <w:rPr>
          <w:i/>
          <w:iCs/>
          <w:color w:val="000000"/>
        </w:rPr>
        <w:t xml:space="preserve">Continuum of Care (CoC) program overview. </w:t>
      </w:r>
      <w:hyperlink r:id="rId53" w:history="1">
        <w:r>
          <w:rPr>
            <w:rStyle w:val="Hyperlink"/>
            <w:color w:val="1155CC"/>
          </w:rPr>
          <w:t>https://www.hudexchange.info/programs/coc/coc-program-eligibility-requirements/</w:t>
        </w:r>
      </w:hyperlink>
      <w:r>
        <w:rPr>
          <w:color w:val="000000"/>
        </w:rPr>
        <w:t> </w:t>
      </w:r>
    </w:p>
    <w:p w14:paraId="35B6E1A4"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World Health Organization. (2021). </w:t>
      </w:r>
      <w:r>
        <w:rPr>
          <w:i/>
          <w:iCs/>
          <w:color w:val="000000"/>
        </w:rPr>
        <w:t>Violence against women prevalence estimates, 2018.</w:t>
      </w:r>
      <w:r>
        <w:rPr>
          <w:color w:val="000000"/>
        </w:rPr>
        <w:t xml:space="preserve"> World Health Organization.</w:t>
      </w:r>
      <w:hyperlink r:id="rId54" w:history="1">
        <w:r>
          <w:rPr>
            <w:rStyle w:val="Hyperlink"/>
            <w:color w:val="000000"/>
          </w:rPr>
          <w:t xml:space="preserve"> </w:t>
        </w:r>
        <w:r>
          <w:rPr>
            <w:rStyle w:val="Hyperlink"/>
            <w:color w:val="1155CC"/>
          </w:rPr>
          <w:t>https://www.who.int/publications/i/item/9789240022256</w:t>
        </w:r>
      </w:hyperlink>
    </w:p>
    <w:p w14:paraId="43FB197C" w14:textId="77777777" w:rsidR="00215800" w:rsidRDefault="00215800" w:rsidP="00215800">
      <w:pPr>
        <w:pStyle w:val="NormalWeb"/>
        <w:numPr>
          <w:ilvl w:val="0"/>
          <w:numId w:val="1"/>
        </w:numPr>
        <w:spacing w:before="0" w:beforeAutospacing="0" w:after="0" w:afterAutospacing="0" w:line="480" w:lineRule="auto"/>
        <w:textAlignment w:val="baseline"/>
        <w:rPr>
          <w:color w:val="000000"/>
        </w:rPr>
      </w:pPr>
      <w:r>
        <w:rPr>
          <w:color w:val="000000"/>
        </w:rPr>
        <w:t xml:space="preserve">World Health Organization. (n.d.-a). </w:t>
      </w:r>
      <w:r>
        <w:rPr>
          <w:i/>
          <w:iCs/>
          <w:color w:val="000000"/>
        </w:rPr>
        <w:t>Bipolar disorder.</w:t>
      </w:r>
      <w:r>
        <w:rPr>
          <w:color w:val="000000"/>
        </w:rPr>
        <w:t xml:space="preserve"> World Health Organization.</w:t>
      </w:r>
      <w:hyperlink r:id="rId55" w:history="1">
        <w:r>
          <w:rPr>
            <w:rStyle w:val="Hyperlink"/>
            <w:color w:val="000000"/>
          </w:rPr>
          <w:t xml:space="preserve"> </w:t>
        </w:r>
        <w:r>
          <w:rPr>
            <w:rStyle w:val="Hyperlink"/>
            <w:color w:val="1155CC"/>
          </w:rPr>
          <w:t>https://www.who.int/news-room/fact-sheets/detail/bipolar-disorder</w:t>
        </w:r>
      </w:hyperlink>
    </w:p>
    <w:p w14:paraId="130D79C6" w14:textId="77777777" w:rsidR="00215800" w:rsidRDefault="00215800" w:rsidP="66C8CD3B">
      <w:pPr>
        <w:pStyle w:val="NormalWeb"/>
        <w:numPr>
          <w:ilvl w:val="0"/>
          <w:numId w:val="1"/>
        </w:numPr>
        <w:spacing w:before="0" w:beforeAutospacing="0" w:after="0" w:afterAutospacing="0" w:line="480" w:lineRule="auto"/>
        <w:textAlignment w:val="baseline"/>
        <w:rPr>
          <w:color w:val="000000"/>
        </w:rPr>
      </w:pPr>
      <w:r w:rsidRPr="66C8CD3B">
        <w:rPr>
          <w:color w:val="000000" w:themeColor="text1"/>
        </w:rPr>
        <w:t xml:space="preserve">Yoshihama, M., Blakey, J. M., Bybee, D., &amp; DeBlaere, C. (2024). Global perspectives on intimate partner violence: Emerging trends and challenges. </w:t>
      </w:r>
      <w:r w:rsidRPr="66C8CD3B">
        <w:rPr>
          <w:i/>
          <w:iCs/>
          <w:color w:val="000000" w:themeColor="text1"/>
        </w:rPr>
        <w:t>The Lancet Regional Health – Americas, 28</w:t>
      </w:r>
      <w:r w:rsidRPr="66C8CD3B">
        <w:rPr>
          <w:color w:val="000000" w:themeColor="text1"/>
        </w:rPr>
        <w:t>, 100629.</w:t>
      </w:r>
      <w:hyperlink r:id="rId56">
        <w:r w:rsidRPr="66C8CD3B">
          <w:rPr>
            <w:rStyle w:val="Hyperlink"/>
            <w:color w:val="000000" w:themeColor="text1"/>
          </w:rPr>
          <w:t xml:space="preserve"> </w:t>
        </w:r>
        <w:r w:rsidRPr="66C8CD3B">
          <w:rPr>
            <w:rStyle w:val="Hyperlink"/>
            <w:color w:val="1155CC"/>
          </w:rPr>
          <w:t>https://doi.org/10.1016/j.lana.2024.100629</w:t>
        </w:r>
      </w:hyperlink>
    </w:p>
    <w:p w14:paraId="261C831B" w14:textId="77777777" w:rsidR="00215800" w:rsidRDefault="00215800" w:rsidP="008F7C73">
      <w:pPr>
        <w:rPr>
          <w:rFonts w:ascii="Times New Roman" w:eastAsia="Times New Roman" w:hAnsi="Times New Roman" w:cs="Times New Roman"/>
        </w:rPr>
      </w:pPr>
    </w:p>
    <w:sectPr w:rsidR="00215800" w:rsidSect="00B92D85">
      <w:headerReference w:type="even" r:id="rId57"/>
      <w:headerReference w:type="default" r:id="rId58"/>
      <w:footerReference w:type="even" r:id="rId59"/>
      <w:footerReference w:type="default" r:id="rId6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DB6B3" w14:textId="77777777" w:rsidR="00D63829" w:rsidRDefault="00D63829">
      <w:pPr>
        <w:spacing w:after="0" w:line="240" w:lineRule="auto"/>
      </w:pPr>
      <w:r>
        <w:separator/>
      </w:r>
    </w:p>
  </w:endnote>
  <w:endnote w:type="continuationSeparator" w:id="0">
    <w:p w14:paraId="03B27115" w14:textId="77777777" w:rsidR="00D63829" w:rsidRDefault="00D63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eastAsia="Times New Roman" w:hAnsi="Times New Roman" w:cs="Times New Roman"/>
      </w:rPr>
      <w:id w:val="806443940"/>
      <w:docPartObj>
        <w:docPartGallery w:val="Page Numbers (Bottom of Page)"/>
        <w:docPartUnique/>
      </w:docPartObj>
    </w:sdtPr>
    <w:sdtContent>
      <w:p w14:paraId="74AB7D79" w14:textId="09F85CB4" w:rsidR="00B92D85" w:rsidRDefault="00B92D85" w:rsidP="00720889">
        <w:pPr>
          <w:pStyle w:val="Footer"/>
          <w:framePr w:wrap="none" w:vAnchor="text" w:hAnchor="margin" w:xAlign="right" w:y="1"/>
          <w:rPr>
            <w:rStyle w:val="PageNumber"/>
          </w:rPr>
        </w:pPr>
        <w:r w:rsidRPr="66C8CD3B">
          <w:rPr>
            <w:rStyle w:val="PageNumber"/>
            <w:rFonts w:ascii="Times New Roman" w:eastAsia="Times New Roman" w:hAnsi="Times New Roman" w:cs="Times New Roman"/>
          </w:rPr>
          <w:fldChar w:fldCharType="begin"/>
        </w:r>
        <w:r w:rsidRPr="66C8CD3B">
          <w:rPr>
            <w:rStyle w:val="PageNumber"/>
            <w:rFonts w:ascii="Times New Roman" w:eastAsia="Times New Roman" w:hAnsi="Times New Roman" w:cs="Times New Roman"/>
          </w:rPr>
          <w:instrText xml:space="preserve"> PAGE </w:instrText>
        </w:r>
        <w:r w:rsidRPr="66C8CD3B">
          <w:rPr>
            <w:rStyle w:val="PageNumber"/>
            <w:rFonts w:ascii="Times New Roman" w:eastAsia="Times New Roman" w:hAnsi="Times New Roman" w:cs="Times New Roman"/>
          </w:rPr>
          <w:fldChar w:fldCharType="end"/>
        </w:r>
      </w:p>
    </w:sdtContent>
  </w:sdt>
  <w:p w14:paraId="369057FE" w14:textId="77777777" w:rsidR="00B92D85" w:rsidRDefault="00B92D85" w:rsidP="00B92D8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eastAsia="Times New Roman" w:hAnsi="Times New Roman" w:cs="Times New Roman"/>
      </w:rPr>
      <w:id w:val="598611048"/>
      <w:docPartObj>
        <w:docPartGallery w:val="Page Numbers (Bottom of Page)"/>
        <w:docPartUnique/>
      </w:docPartObj>
    </w:sdtPr>
    <w:sdtContent>
      <w:p w14:paraId="058112D5" w14:textId="6812FC12" w:rsidR="00B92D85" w:rsidRDefault="00B92D85" w:rsidP="66C8CD3B">
        <w:pPr>
          <w:pStyle w:val="Footer"/>
          <w:framePr w:wrap="none" w:vAnchor="text" w:hAnchor="margin" w:xAlign="right" w:y="1"/>
          <w:rPr>
            <w:rStyle w:val="PageNumber"/>
            <w:rFonts w:ascii="Times New Roman" w:eastAsia="Times New Roman" w:hAnsi="Times New Roman" w:cs="Times New Roman"/>
          </w:rPr>
        </w:pPr>
        <w:r w:rsidRPr="66C8CD3B">
          <w:rPr>
            <w:rStyle w:val="PageNumber"/>
            <w:rFonts w:ascii="Times New Roman" w:eastAsia="Times New Roman" w:hAnsi="Times New Roman" w:cs="Times New Roman"/>
            <w:noProof/>
          </w:rPr>
          <w:fldChar w:fldCharType="begin"/>
        </w:r>
        <w:r w:rsidRPr="66C8CD3B">
          <w:rPr>
            <w:rStyle w:val="PageNumber"/>
            <w:rFonts w:ascii="Times New Roman" w:eastAsia="Times New Roman" w:hAnsi="Times New Roman" w:cs="Times New Roman"/>
          </w:rPr>
          <w:instrText xml:space="preserve"> PAGE </w:instrText>
        </w:r>
        <w:r w:rsidRPr="66C8CD3B">
          <w:rPr>
            <w:rStyle w:val="PageNumber"/>
            <w:rFonts w:ascii="Times New Roman" w:eastAsia="Times New Roman" w:hAnsi="Times New Roman" w:cs="Times New Roman"/>
          </w:rPr>
          <w:fldChar w:fldCharType="separate"/>
        </w:r>
        <w:r w:rsidR="66C8CD3B" w:rsidRPr="66C8CD3B">
          <w:rPr>
            <w:rStyle w:val="PageNumber"/>
            <w:rFonts w:ascii="Times New Roman" w:eastAsia="Times New Roman" w:hAnsi="Times New Roman" w:cs="Times New Roman"/>
            <w:noProof/>
          </w:rPr>
          <w:t>1</w:t>
        </w:r>
        <w:r w:rsidRPr="66C8CD3B">
          <w:rPr>
            <w:rStyle w:val="PageNumber"/>
            <w:rFonts w:ascii="Times New Roman" w:eastAsia="Times New Roman" w:hAnsi="Times New Roman" w:cs="Times New Roman"/>
            <w:noProof/>
          </w:rPr>
          <w:fldChar w:fldCharType="end"/>
        </w:r>
      </w:p>
    </w:sdtContent>
  </w:sdt>
  <w:tbl>
    <w:tblPr>
      <w:tblW w:w="0" w:type="auto"/>
      <w:tblLook w:val="06A0" w:firstRow="1" w:lastRow="0" w:firstColumn="1" w:lastColumn="0" w:noHBand="1" w:noVBand="1"/>
    </w:tblPr>
    <w:tblGrid>
      <w:gridCol w:w="3120"/>
      <w:gridCol w:w="3120"/>
      <w:gridCol w:w="3120"/>
    </w:tblGrid>
    <w:tr w:rsidR="49A95F64" w:rsidRPr="00B92D85" w14:paraId="72D1AD99" w14:textId="77777777" w:rsidTr="49A95F64">
      <w:trPr>
        <w:trHeight w:val="300"/>
      </w:trPr>
      <w:tc>
        <w:tcPr>
          <w:tcW w:w="3120" w:type="dxa"/>
        </w:tcPr>
        <w:p w14:paraId="66357EDF" w14:textId="1B69191F" w:rsidR="49A95F64" w:rsidRDefault="49A95F64" w:rsidP="00B92D85">
          <w:pPr>
            <w:pStyle w:val="Header"/>
            <w:ind w:left="-115" w:right="360"/>
          </w:pPr>
        </w:p>
      </w:tc>
      <w:tc>
        <w:tcPr>
          <w:tcW w:w="3120" w:type="dxa"/>
        </w:tcPr>
        <w:p w14:paraId="07DF7114" w14:textId="7DAE7DDE" w:rsidR="49A95F64" w:rsidRDefault="49A95F64" w:rsidP="49A95F64">
          <w:pPr>
            <w:pStyle w:val="Header"/>
            <w:jc w:val="center"/>
          </w:pPr>
        </w:p>
      </w:tc>
      <w:tc>
        <w:tcPr>
          <w:tcW w:w="3120" w:type="dxa"/>
        </w:tcPr>
        <w:p w14:paraId="05662F56" w14:textId="75617945" w:rsidR="49A95F64" w:rsidRPr="00B92D85" w:rsidRDefault="49A95F64" w:rsidP="49A95F64">
          <w:pPr>
            <w:pStyle w:val="Header"/>
            <w:ind w:right="-115"/>
            <w:jc w:val="right"/>
            <w:rPr>
              <w:rFonts w:ascii="Times New Roman" w:hAnsi="Times New Roman" w:cs="Times New Roman"/>
            </w:rPr>
          </w:pPr>
        </w:p>
      </w:tc>
    </w:tr>
  </w:tbl>
  <w:p w14:paraId="4AA5E18F" w14:textId="33167704" w:rsidR="49A95F64" w:rsidRDefault="49A95F64" w:rsidP="49A95F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EF7B7" w14:textId="77777777" w:rsidR="00D63829" w:rsidRDefault="00D63829">
      <w:pPr>
        <w:spacing w:after="0" w:line="240" w:lineRule="auto"/>
      </w:pPr>
      <w:r>
        <w:separator/>
      </w:r>
    </w:p>
  </w:footnote>
  <w:footnote w:type="continuationSeparator" w:id="0">
    <w:p w14:paraId="0FDEE12F" w14:textId="77777777" w:rsidR="00D63829" w:rsidRDefault="00D638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8752352"/>
      <w:placeholder>
        <w:docPart w:val="A2932325F65CB7418C16552A48701E33"/>
      </w:placeholder>
      <w:temporary/>
      <w:showingPlcHdr/>
      <w15:appearance w15:val="hidden"/>
    </w:sdtPr>
    <w:sdtContent>
      <w:p w14:paraId="2DA740E3" w14:textId="77777777" w:rsidR="00FD3093" w:rsidRDefault="00FD3093">
        <w:pPr>
          <w:pStyle w:val="Header"/>
        </w:pPr>
        <w:r>
          <w:t>[Type here]</w:t>
        </w:r>
      </w:p>
    </w:sdtContent>
  </w:sdt>
  <w:p w14:paraId="39C48525" w14:textId="77777777" w:rsidR="00FD3093" w:rsidRDefault="00FD30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F269F" w14:textId="7BF851CC" w:rsidR="005F4F97" w:rsidRPr="005F4F97" w:rsidRDefault="005F4F97">
    <w:pPr>
      <w:pStyle w:val="Header"/>
      <w:rPr>
        <w:rFonts w:ascii="Times New Roman" w:hAnsi="Times New Roman" w:cs="Times New Roman"/>
      </w:rPr>
    </w:pPr>
    <w:r w:rsidRPr="005F4F97">
      <w:rPr>
        <w:rFonts w:ascii="Times New Roman" w:hAnsi="Times New Roman" w:cs="Times New Roman"/>
      </w:rPr>
      <w:t>IPV AND BIPOLAR DISORDER</w:t>
    </w:r>
  </w:p>
  <w:p w14:paraId="08C2B227" w14:textId="4056F1B9" w:rsidR="49A95F64" w:rsidRDefault="49A95F64" w:rsidP="49A95F64">
    <w:pPr>
      <w:pStyle w:val="Header"/>
    </w:pPr>
  </w:p>
</w:hdr>
</file>

<file path=word/intelligence2.xml><?xml version="1.0" encoding="utf-8"?>
<int2:intelligence xmlns:int2="http://schemas.microsoft.com/office/intelligence/2020/intelligence" xmlns:oel="http://schemas.microsoft.com/office/2019/extlst">
  <int2:observations>
    <int2:textHash int2:hashCode="NeikVdAUHg8+NW" int2:id="2q7sWOAd">
      <int2:state int2:value="Rejected" int2:type="spell"/>
    </int2:textHash>
    <int2:textHash int2:hashCode="L9413Oot3L51Ki" int2:id="6RGhL3NC">
      <int2:state int2:value="Rejected" int2:type="spell"/>
    </int2:textHash>
    <int2:textHash int2:hashCode="M+r56qJeuC2hTW" int2:id="DR1yq8KO">
      <int2:state int2:value="Rejected" int2:type="spell"/>
    </int2:textHash>
    <int2:textHash int2:hashCode="KTpV2OY8y0h4f0" int2:id="Po8eGACJ">
      <int2:state int2:value="Rejected" int2:type="spell"/>
    </int2:textHash>
    <int2:textHash int2:hashCode="N6zF+Xclh9dCDP" int2:id="QHw9SHqN">
      <int2:state int2:value="Rejected" int2:type="spell"/>
    </int2:textHash>
    <int2:textHash int2:hashCode="qKako290RTXKPe" int2:id="Ry1iOSsB">
      <int2:state int2:value="Rejected" int2:type="spell"/>
    </int2:textHash>
    <int2:textHash int2:hashCode="zd3bUDN5RfYzrz" int2:id="WqS1Kuc0">
      <int2:state int2:value="Rejected" int2:type="spell"/>
    </int2:textHash>
    <int2:textHash int2:hashCode="fjiznon75u4I6s" int2:id="a6w8mjsW">
      <int2:state int2:value="Rejected" int2:type="spell"/>
    </int2:textHash>
    <int2:textHash int2:hashCode="YlN8p15sNj0Peq" int2:id="bIaXE5aO">
      <int2:state int2:value="Rejected" int2:type="spell"/>
    </int2:textHash>
    <int2:textHash int2:hashCode="we2G+yZX5tb8Xk" int2:id="eSdzFwAe">
      <int2:state int2:value="Rejected" int2:type="spell"/>
    </int2:textHash>
    <int2:textHash int2:hashCode="Im1Zc0dUsfPflQ" int2:id="ibDqFNBM">
      <int2:state int2:value="Rejected" int2:type="spell"/>
    </int2:textHash>
    <int2:textHash int2:hashCode="/DrVLCiZf8TPPw" int2:id="irRhxn8y">
      <int2:state int2:value="Rejected" int2:type="spell"/>
    </int2:textHash>
    <int2:textHash int2:hashCode="StJDBY4/OF611p" int2:id="lSpjqxDk">
      <int2:state int2:value="Rejected" int2:type="spell"/>
    </int2:textHash>
    <int2:textHash int2:hashCode="jbMmgGwWjEf2Fc" int2:id="oVeJOeqL">
      <int2:state int2:value="Rejected" int2:type="spell"/>
    </int2:textHash>
    <int2:textHash int2:hashCode="lqtwgUq/pf1zpD" int2:id="uNMwFVtW">
      <int2:state int2:value="Rejected" int2:type="spell"/>
    </int2:textHash>
    <int2:bookmark int2:bookmarkName="_Int_a7kYuyKX" int2:invalidationBookmarkName="" int2:hashCode="E1+Tt6RJBbZOzq" int2:id="MbrL6AUo">
      <int2:state int2:value="Rejected" int2:type="style"/>
    </int2:bookmark>
    <int2:bookmark int2:bookmarkName="_Int_vAE9NlU0" int2:invalidationBookmarkName="" int2:hashCode="zrmUu3RMJDFYS9" int2:id="NWuItewb">
      <int2:state int2:value="Rejected" int2:type="gram"/>
    </int2:bookmark>
    <int2:bookmark int2:bookmarkName="_Int_8BpJuCTS" int2:invalidationBookmarkName="" int2:hashCode="klnVWBIa9a7+lM" int2:id="bjKdLN0R">
      <int2:state int2:value="Rejected" int2:type="gram"/>
    </int2:bookmark>
    <int2:bookmark int2:bookmarkName="_Int_ZXIM9eZG" int2:invalidationBookmarkName="" int2:hashCode="4w3o/b0/JQLB0/" int2:id="jyMEgAt8">
      <int2:state int2:value="Rejected" int2:type="gram"/>
    </int2:bookmark>
    <int2:bookmark int2:bookmarkName="_Int_l5fSSyla" int2:invalidationBookmarkName="" int2:hashCode="8R89GCx0054qIx" int2:id="vLa0Cfm9">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EF3047"/>
    <w:multiLevelType w:val="multilevel"/>
    <w:tmpl w:val="B5529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91379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A48CD3F"/>
    <w:rsid w:val="000114B5"/>
    <w:rsid w:val="00015717"/>
    <w:rsid w:val="00034309"/>
    <w:rsid w:val="00034DC5"/>
    <w:rsid w:val="00067561"/>
    <w:rsid w:val="00072ED8"/>
    <w:rsid w:val="0009518F"/>
    <w:rsid w:val="000A21D4"/>
    <w:rsid w:val="000E1BCE"/>
    <w:rsid w:val="000F717A"/>
    <w:rsid w:val="000F792C"/>
    <w:rsid w:val="00107D58"/>
    <w:rsid w:val="00113F56"/>
    <w:rsid w:val="00122366"/>
    <w:rsid w:val="00123C23"/>
    <w:rsid w:val="0012588E"/>
    <w:rsid w:val="00133C6C"/>
    <w:rsid w:val="00136F54"/>
    <w:rsid w:val="001410E9"/>
    <w:rsid w:val="00141B03"/>
    <w:rsid w:val="00146DE0"/>
    <w:rsid w:val="00155941"/>
    <w:rsid w:val="00167829"/>
    <w:rsid w:val="00173936"/>
    <w:rsid w:val="001758E0"/>
    <w:rsid w:val="001841F5"/>
    <w:rsid w:val="001A4907"/>
    <w:rsid w:val="001B263B"/>
    <w:rsid w:val="001B51AE"/>
    <w:rsid w:val="001B5E35"/>
    <w:rsid w:val="001D0426"/>
    <w:rsid w:val="001D1FE5"/>
    <w:rsid w:val="001E0ED9"/>
    <w:rsid w:val="002055EF"/>
    <w:rsid w:val="00215800"/>
    <w:rsid w:val="00222719"/>
    <w:rsid w:val="00226DE2"/>
    <w:rsid w:val="00236FD6"/>
    <w:rsid w:val="00247380"/>
    <w:rsid w:val="00257B3D"/>
    <w:rsid w:val="002665F9"/>
    <w:rsid w:val="00290320"/>
    <w:rsid w:val="002D7EDD"/>
    <w:rsid w:val="002E22D8"/>
    <w:rsid w:val="002E2B7B"/>
    <w:rsid w:val="002E3F80"/>
    <w:rsid w:val="002F2008"/>
    <w:rsid w:val="002F5A44"/>
    <w:rsid w:val="002F6034"/>
    <w:rsid w:val="0030200E"/>
    <w:rsid w:val="00321480"/>
    <w:rsid w:val="003258C7"/>
    <w:rsid w:val="00332398"/>
    <w:rsid w:val="00350262"/>
    <w:rsid w:val="003607F5"/>
    <w:rsid w:val="00371CDB"/>
    <w:rsid w:val="00396793"/>
    <w:rsid w:val="003B22B9"/>
    <w:rsid w:val="003B3CE5"/>
    <w:rsid w:val="003B7095"/>
    <w:rsid w:val="003C5BEB"/>
    <w:rsid w:val="003C6CC0"/>
    <w:rsid w:val="003D36DC"/>
    <w:rsid w:val="003D3DA8"/>
    <w:rsid w:val="003D6990"/>
    <w:rsid w:val="003F073D"/>
    <w:rsid w:val="003F33EB"/>
    <w:rsid w:val="004054AF"/>
    <w:rsid w:val="00405FE0"/>
    <w:rsid w:val="0040619C"/>
    <w:rsid w:val="00414D35"/>
    <w:rsid w:val="0042549C"/>
    <w:rsid w:val="0044492F"/>
    <w:rsid w:val="00447DDF"/>
    <w:rsid w:val="004516AC"/>
    <w:rsid w:val="00466DFA"/>
    <w:rsid w:val="00471898"/>
    <w:rsid w:val="00475644"/>
    <w:rsid w:val="00485662"/>
    <w:rsid w:val="00491B54"/>
    <w:rsid w:val="004A6FD6"/>
    <w:rsid w:val="004A7371"/>
    <w:rsid w:val="004A7E72"/>
    <w:rsid w:val="004B3643"/>
    <w:rsid w:val="004C0253"/>
    <w:rsid w:val="004D3442"/>
    <w:rsid w:val="004D4D6C"/>
    <w:rsid w:val="004F0195"/>
    <w:rsid w:val="004F2372"/>
    <w:rsid w:val="004F2F40"/>
    <w:rsid w:val="00530756"/>
    <w:rsid w:val="005550C2"/>
    <w:rsid w:val="00560084"/>
    <w:rsid w:val="00576C73"/>
    <w:rsid w:val="005841EC"/>
    <w:rsid w:val="00591332"/>
    <w:rsid w:val="00592076"/>
    <w:rsid w:val="005A4F86"/>
    <w:rsid w:val="005C0A70"/>
    <w:rsid w:val="005C1209"/>
    <w:rsid w:val="005C7592"/>
    <w:rsid w:val="005E342C"/>
    <w:rsid w:val="005F4F97"/>
    <w:rsid w:val="005F6D43"/>
    <w:rsid w:val="006048E0"/>
    <w:rsid w:val="0061667C"/>
    <w:rsid w:val="0061774F"/>
    <w:rsid w:val="00634E3E"/>
    <w:rsid w:val="00644434"/>
    <w:rsid w:val="00657219"/>
    <w:rsid w:val="00663A01"/>
    <w:rsid w:val="00663B46"/>
    <w:rsid w:val="00672075"/>
    <w:rsid w:val="00687216"/>
    <w:rsid w:val="00695DC1"/>
    <w:rsid w:val="006E7D69"/>
    <w:rsid w:val="006F3D5E"/>
    <w:rsid w:val="00705283"/>
    <w:rsid w:val="007121C2"/>
    <w:rsid w:val="00714218"/>
    <w:rsid w:val="00720889"/>
    <w:rsid w:val="00720F80"/>
    <w:rsid w:val="00737132"/>
    <w:rsid w:val="00746BD8"/>
    <w:rsid w:val="007864D7"/>
    <w:rsid w:val="007A42E7"/>
    <w:rsid w:val="007B3BD1"/>
    <w:rsid w:val="007D1F23"/>
    <w:rsid w:val="007D2E81"/>
    <w:rsid w:val="007D6B1B"/>
    <w:rsid w:val="007F666B"/>
    <w:rsid w:val="007F710F"/>
    <w:rsid w:val="00806687"/>
    <w:rsid w:val="00811F42"/>
    <w:rsid w:val="008404A5"/>
    <w:rsid w:val="008434C8"/>
    <w:rsid w:val="00862913"/>
    <w:rsid w:val="00871163"/>
    <w:rsid w:val="0089015C"/>
    <w:rsid w:val="008927C2"/>
    <w:rsid w:val="00895DAD"/>
    <w:rsid w:val="008A77B9"/>
    <w:rsid w:val="008B1D84"/>
    <w:rsid w:val="008E42F9"/>
    <w:rsid w:val="008E67C1"/>
    <w:rsid w:val="008E78B2"/>
    <w:rsid w:val="008F7C73"/>
    <w:rsid w:val="00913D71"/>
    <w:rsid w:val="00920F49"/>
    <w:rsid w:val="00927F6F"/>
    <w:rsid w:val="00944F7F"/>
    <w:rsid w:val="00957136"/>
    <w:rsid w:val="0097102D"/>
    <w:rsid w:val="009C760B"/>
    <w:rsid w:val="00A0620C"/>
    <w:rsid w:val="00A309E2"/>
    <w:rsid w:val="00A33E49"/>
    <w:rsid w:val="00A62454"/>
    <w:rsid w:val="00A81FCE"/>
    <w:rsid w:val="00AA2D95"/>
    <w:rsid w:val="00AA378A"/>
    <w:rsid w:val="00AB362E"/>
    <w:rsid w:val="00AC3F39"/>
    <w:rsid w:val="00AF1758"/>
    <w:rsid w:val="00B051CE"/>
    <w:rsid w:val="00B0593F"/>
    <w:rsid w:val="00B0596E"/>
    <w:rsid w:val="00B24CA3"/>
    <w:rsid w:val="00B273E8"/>
    <w:rsid w:val="00B45DBC"/>
    <w:rsid w:val="00B5667B"/>
    <w:rsid w:val="00B64C72"/>
    <w:rsid w:val="00B81B04"/>
    <w:rsid w:val="00B92D85"/>
    <w:rsid w:val="00B96F8B"/>
    <w:rsid w:val="00BA2797"/>
    <w:rsid w:val="00BA5A70"/>
    <w:rsid w:val="00BB317F"/>
    <w:rsid w:val="00BB3475"/>
    <w:rsid w:val="00BB7502"/>
    <w:rsid w:val="00BC2E6A"/>
    <w:rsid w:val="00BC321F"/>
    <w:rsid w:val="00BE65E4"/>
    <w:rsid w:val="00BF45B3"/>
    <w:rsid w:val="00C148A0"/>
    <w:rsid w:val="00C26E4A"/>
    <w:rsid w:val="00C65813"/>
    <w:rsid w:val="00C73B74"/>
    <w:rsid w:val="00C770E8"/>
    <w:rsid w:val="00CA4840"/>
    <w:rsid w:val="00CB2FFA"/>
    <w:rsid w:val="00CD6631"/>
    <w:rsid w:val="00CE496F"/>
    <w:rsid w:val="00CF4ED4"/>
    <w:rsid w:val="00D1185F"/>
    <w:rsid w:val="00D15280"/>
    <w:rsid w:val="00D217AC"/>
    <w:rsid w:val="00D44E50"/>
    <w:rsid w:val="00D63829"/>
    <w:rsid w:val="00D64F58"/>
    <w:rsid w:val="00D7324C"/>
    <w:rsid w:val="00D756D7"/>
    <w:rsid w:val="00DB6EC3"/>
    <w:rsid w:val="00DC0D88"/>
    <w:rsid w:val="00DC2FE6"/>
    <w:rsid w:val="00DD1D9D"/>
    <w:rsid w:val="00DD69C3"/>
    <w:rsid w:val="00E270BE"/>
    <w:rsid w:val="00E52CD1"/>
    <w:rsid w:val="00E60C4A"/>
    <w:rsid w:val="00E807AB"/>
    <w:rsid w:val="00EA0311"/>
    <w:rsid w:val="00EA17EB"/>
    <w:rsid w:val="00EB7386"/>
    <w:rsid w:val="00EE207D"/>
    <w:rsid w:val="00F18318"/>
    <w:rsid w:val="00F33E87"/>
    <w:rsid w:val="00F37039"/>
    <w:rsid w:val="00F66B0B"/>
    <w:rsid w:val="00F708B2"/>
    <w:rsid w:val="00F73CFC"/>
    <w:rsid w:val="00FA387B"/>
    <w:rsid w:val="00FA3A0C"/>
    <w:rsid w:val="00FB37D1"/>
    <w:rsid w:val="00FC673B"/>
    <w:rsid w:val="00FD3093"/>
    <w:rsid w:val="00FD4FA8"/>
    <w:rsid w:val="00FE2907"/>
    <w:rsid w:val="00FE76E3"/>
    <w:rsid w:val="00FE77C0"/>
    <w:rsid w:val="018757D4"/>
    <w:rsid w:val="0187B978"/>
    <w:rsid w:val="01AE84D1"/>
    <w:rsid w:val="01FB0C9C"/>
    <w:rsid w:val="0283CCA7"/>
    <w:rsid w:val="03CE5C3F"/>
    <w:rsid w:val="03F94BB5"/>
    <w:rsid w:val="043B8CC1"/>
    <w:rsid w:val="0549B758"/>
    <w:rsid w:val="055A4EF2"/>
    <w:rsid w:val="05B24DB5"/>
    <w:rsid w:val="05F91CF5"/>
    <w:rsid w:val="06305DF9"/>
    <w:rsid w:val="06459A1B"/>
    <w:rsid w:val="0720DACC"/>
    <w:rsid w:val="07415AD7"/>
    <w:rsid w:val="08893993"/>
    <w:rsid w:val="0913E925"/>
    <w:rsid w:val="09398171"/>
    <w:rsid w:val="09B34D3D"/>
    <w:rsid w:val="09FBFB63"/>
    <w:rsid w:val="0A1A524E"/>
    <w:rsid w:val="0A3D1AE7"/>
    <w:rsid w:val="0C10627B"/>
    <w:rsid w:val="0C17AB53"/>
    <w:rsid w:val="0C435196"/>
    <w:rsid w:val="0C6DA602"/>
    <w:rsid w:val="0D15E3EF"/>
    <w:rsid w:val="0D1B9674"/>
    <w:rsid w:val="0D741CB9"/>
    <w:rsid w:val="0E56F7F0"/>
    <w:rsid w:val="0E7B2FFE"/>
    <w:rsid w:val="0F8A015F"/>
    <w:rsid w:val="10309A25"/>
    <w:rsid w:val="10480DBE"/>
    <w:rsid w:val="10BC5680"/>
    <w:rsid w:val="10C2BE8A"/>
    <w:rsid w:val="114D3F96"/>
    <w:rsid w:val="11689C54"/>
    <w:rsid w:val="116D6137"/>
    <w:rsid w:val="117B5840"/>
    <w:rsid w:val="11A0DCB1"/>
    <w:rsid w:val="123D5AA0"/>
    <w:rsid w:val="12703FF3"/>
    <w:rsid w:val="130B0D8C"/>
    <w:rsid w:val="13A59889"/>
    <w:rsid w:val="13AF5000"/>
    <w:rsid w:val="141C0F5E"/>
    <w:rsid w:val="147E626E"/>
    <w:rsid w:val="14A3087B"/>
    <w:rsid w:val="1505B5DC"/>
    <w:rsid w:val="152FD8F5"/>
    <w:rsid w:val="157F62D7"/>
    <w:rsid w:val="15B3BE93"/>
    <w:rsid w:val="16D84D22"/>
    <w:rsid w:val="16E73E24"/>
    <w:rsid w:val="179821FE"/>
    <w:rsid w:val="182815BD"/>
    <w:rsid w:val="18A54D65"/>
    <w:rsid w:val="18B53A96"/>
    <w:rsid w:val="192D90F6"/>
    <w:rsid w:val="193A4BB9"/>
    <w:rsid w:val="196004E6"/>
    <w:rsid w:val="1984B9BD"/>
    <w:rsid w:val="19C0B760"/>
    <w:rsid w:val="19D2A3AF"/>
    <w:rsid w:val="19FF3097"/>
    <w:rsid w:val="1A35D0EA"/>
    <w:rsid w:val="1A7E9D75"/>
    <w:rsid w:val="1AA9ECDC"/>
    <w:rsid w:val="1ADF805F"/>
    <w:rsid w:val="1B5048F4"/>
    <w:rsid w:val="1C13C2B5"/>
    <w:rsid w:val="1C65A4C3"/>
    <w:rsid w:val="1DE278E0"/>
    <w:rsid w:val="1E5E8C2F"/>
    <w:rsid w:val="1E85D897"/>
    <w:rsid w:val="1EA12A04"/>
    <w:rsid w:val="1EA44395"/>
    <w:rsid w:val="1EA8D639"/>
    <w:rsid w:val="1EE04DBE"/>
    <w:rsid w:val="1F651019"/>
    <w:rsid w:val="1F838927"/>
    <w:rsid w:val="2157DC63"/>
    <w:rsid w:val="21731B50"/>
    <w:rsid w:val="2173DB38"/>
    <w:rsid w:val="2280ACF1"/>
    <w:rsid w:val="22DDFF5B"/>
    <w:rsid w:val="22E319A0"/>
    <w:rsid w:val="2343B142"/>
    <w:rsid w:val="234C3532"/>
    <w:rsid w:val="2496BAE3"/>
    <w:rsid w:val="24CA6371"/>
    <w:rsid w:val="258E6E18"/>
    <w:rsid w:val="259B58D8"/>
    <w:rsid w:val="260D3FCE"/>
    <w:rsid w:val="2683DF90"/>
    <w:rsid w:val="26BD6F74"/>
    <w:rsid w:val="26CAEAA8"/>
    <w:rsid w:val="273F4FF9"/>
    <w:rsid w:val="27F64FDA"/>
    <w:rsid w:val="282EF779"/>
    <w:rsid w:val="285DC199"/>
    <w:rsid w:val="28E36280"/>
    <w:rsid w:val="2977CC43"/>
    <w:rsid w:val="2A2211AA"/>
    <w:rsid w:val="2A48B95B"/>
    <w:rsid w:val="2A48CD3F"/>
    <w:rsid w:val="2A6B216E"/>
    <w:rsid w:val="2A8A3D20"/>
    <w:rsid w:val="2ABB01D3"/>
    <w:rsid w:val="2BCE296E"/>
    <w:rsid w:val="2BF291A7"/>
    <w:rsid w:val="2C48BB2E"/>
    <w:rsid w:val="2CA59567"/>
    <w:rsid w:val="2D054263"/>
    <w:rsid w:val="2D2DE3E1"/>
    <w:rsid w:val="2DEF471B"/>
    <w:rsid w:val="2E246A82"/>
    <w:rsid w:val="2E345B9E"/>
    <w:rsid w:val="2E624A57"/>
    <w:rsid w:val="2E9A6504"/>
    <w:rsid w:val="2F0FBA2D"/>
    <w:rsid w:val="2F1F51B2"/>
    <w:rsid w:val="2F730AA4"/>
    <w:rsid w:val="2F996299"/>
    <w:rsid w:val="2F9AE42F"/>
    <w:rsid w:val="2FB2CAF7"/>
    <w:rsid w:val="2FD57331"/>
    <w:rsid w:val="30A66817"/>
    <w:rsid w:val="313835CC"/>
    <w:rsid w:val="314CA9FB"/>
    <w:rsid w:val="315A54C7"/>
    <w:rsid w:val="31A2DBAC"/>
    <w:rsid w:val="327E5A37"/>
    <w:rsid w:val="328BFE9E"/>
    <w:rsid w:val="32DEA42F"/>
    <w:rsid w:val="336E12E2"/>
    <w:rsid w:val="34F0A8E4"/>
    <w:rsid w:val="35B197B5"/>
    <w:rsid w:val="35B9AE33"/>
    <w:rsid w:val="363E2BBA"/>
    <w:rsid w:val="3686C020"/>
    <w:rsid w:val="370CB725"/>
    <w:rsid w:val="378B1FBB"/>
    <w:rsid w:val="37C26CC7"/>
    <w:rsid w:val="38FD1C49"/>
    <w:rsid w:val="3910C810"/>
    <w:rsid w:val="39E8E277"/>
    <w:rsid w:val="39EAD406"/>
    <w:rsid w:val="3A727959"/>
    <w:rsid w:val="3AC94F8C"/>
    <w:rsid w:val="3B48EE93"/>
    <w:rsid w:val="3CA83A60"/>
    <w:rsid w:val="3CE71C52"/>
    <w:rsid w:val="3CF4BDA3"/>
    <w:rsid w:val="3D0CADEA"/>
    <w:rsid w:val="3D921CBE"/>
    <w:rsid w:val="3DCB8CDD"/>
    <w:rsid w:val="3E1705C9"/>
    <w:rsid w:val="3E35451E"/>
    <w:rsid w:val="3EB50AD5"/>
    <w:rsid w:val="3F1814F1"/>
    <w:rsid w:val="3F75C12E"/>
    <w:rsid w:val="3FB966CF"/>
    <w:rsid w:val="402E0539"/>
    <w:rsid w:val="4062B0BE"/>
    <w:rsid w:val="4076865D"/>
    <w:rsid w:val="40B8FDD4"/>
    <w:rsid w:val="4188EE69"/>
    <w:rsid w:val="419BED75"/>
    <w:rsid w:val="41D35CAC"/>
    <w:rsid w:val="424B0B23"/>
    <w:rsid w:val="427E5FA8"/>
    <w:rsid w:val="4281B65C"/>
    <w:rsid w:val="42D6FDDF"/>
    <w:rsid w:val="434E48DF"/>
    <w:rsid w:val="4366B751"/>
    <w:rsid w:val="437E1FB0"/>
    <w:rsid w:val="43C30BA2"/>
    <w:rsid w:val="43C9CC90"/>
    <w:rsid w:val="43D12459"/>
    <w:rsid w:val="44ACEE49"/>
    <w:rsid w:val="44BAA553"/>
    <w:rsid w:val="45A003A9"/>
    <w:rsid w:val="461449F1"/>
    <w:rsid w:val="46B5EB54"/>
    <w:rsid w:val="46D09273"/>
    <w:rsid w:val="46E9C8C7"/>
    <w:rsid w:val="4798B581"/>
    <w:rsid w:val="47BC8FE4"/>
    <w:rsid w:val="47DEC755"/>
    <w:rsid w:val="47E1C4AA"/>
    <w:rsid w:val="47E85ABB"/>
    <w:rsid w:val="47EDB41C"/>
    <w:rsid w:val="47F301B3"/>
    <w:rsid w:val="483EF2D6"/>
    <w:rsid w:val="4866C2F9"/>
    <w:rsid w:val="486C719E"/>
    <w:rsid w:val="488CA0DC"/>
    <w:rsid w:val="49000462"/>
    <w:rsid w:val="491262B4"/>
    <w:rsid w:val="4983294A"/>
    <w:rsid w:val="49A95F64"/>
    <w:rsid w:val="4A4E53F1"/>
    <w:rsid w:val="4A85882F"/>
    <w:rsid w:val="4C8CEA28"/>
    <w:rsid w:val="4CBF14A7"/>
    <w:rsid w:val="4D6D69FF"/>
    <w:rsid w:val="4DA5FB71"/>
    <w:rsid w:val="4DB73034"/>
    <w:rsid w:val="4E2A827A"/>
    <w:rsid w:val="4FAB55CA"/>
    <w:rsid w:val="4FE641F6"/>
    <w:rsid w:val="5053780D"/>
    <w:rsid w:val="50CFCF7A"/>
    <w:rsid w:val="50D75A06"/>
    <w:rsid w:val="51FEA684"/>
    <w:rsid w:val="5323F6E0"/>
    <w:rsid w:val="544B1810"/>
    <w:rsid w:val="545932A1"/>
    <w:rsid w:val="54C15B59"/>
    <w:rsid w:val="552F202B"/>
    <w:rsid w:val="555B6B49"/>
    <w:rsid w:val="564D190A"/>
    <w:rsid w:val="57247CDC"/>
    <w:rsid w:val="5739935F"/>
    <w:rsid w:val="57572780"/>
    <w:rsid w:val="57987C6C"/>
    <w:rsid w:val="57E70B47"/>
    <w:rsid w:val="5859A55C"/>
    <w:rsid w:val="58B39A86"/>
    <w:rsid w:val="58D9AB84"/>
    <w:rsid w:val="58ECC5B9"/>
    <w:rsid w:val="5905FDC9"/>
    <w:rsid w:val="590D9A4F"/>
    <w:rsid w:val="593598B4"/>
    <w:rsid w:val="59F9ABF0"/>
    <w:rsid w:val="5A0AF468"/>
    <w:rsid w:val="5AB18C77"/>
    <w:rsid w:val="5B57BE9A"/>
    <w:rsid w:val="5D0DA571"/>
    <w:rsid w:val="5DBB6583"/>
    <w:rsid w:val="5F69880B"/>
    <w:rsid w:val="602A9B9C"/>
    <w:rsid w:val="60345279"/>
    <w:rsid w:val="6041BA4F"/>
    <w:rsid w:val="60905047"/>
    <w:rsid w:val="6245A021"/>
    <w:rsid w:val="62E8AC09"/>
    <w:rsid w:val="62F6134B"/>
    <w:rsid w:val="633A3C7C"/>
    <w:rsid w:val="6342024E"/>
    <w:rsid w:val="63B46A00"/>
    <w:rsid w:val="642F45F2"/>
    <w:rsid w:val="649D46C5"/>
    <w:rsid w:val="64D36CFC"/>
    <w:rsid w:val="6583ACD2"/>
    <w:rsid w:val="65B8D904"/>
    <w:rsid w:val="66C8CD3B"/>
    <w:rsid w:val="6738C9A1"/>
    <w:rsid w:val="678D7AF5"/>
    <w:rsid w:val="67A2F66A"/>
    <w:rsid w:val="69DE696F"/>
    <w:rsid w:val="69E4A160"/>
    <w:rsid w:val="6A1A1706"/>
    <w:rsid w:val="6A2954DB"/>
    <w:rsid w:val="6A308B34"/>
    <w:rsid w:val="6A72E82C"/>
    <w:rsid w:val="6AE0BDF6"/>
    <w:rsid w:val="6AFC74E8"/>
    <w:rsid w:val="6B223B5B"/>
    <w:rsid w:val="6B65A76E"/>
    <w:rsid w:val="6B6D30B0"/>
    <w:rsid w:val="6BF619E1"/>
    <w:rsid w:val="6C5917A6"/>
    <w:rsid w:val="6C73B792"/>
    <w:rsid w:val="6CAD2CBC"/>
    <w:rsid w:val="6CBB2257"/>
    <w:rsid w:val="6D73911F"/>
    <w:rsid w:val="6E398429"/>
    <w:rsid w:val="6E89DA2C"/>
    <w:rsid w:val="6E9DCC4A"/>
    <w:rsid w:val="6F40269D"/>
    <w:rsid w:val="6F803E80"/>
    <w:rsid w:val="6F8B93B4"/>
    <w:rsid w:val="704C0B5F"/>
    <w:rsid w:val="708BD941"/>
    <w:rsid w:val="70B0D6F7"/>
    <w:rsid w:val="7111131F"/>
    <w:rsid w:val="7233A86B"/>
    <w:rsid w:val="7241472B"/>
    <w:rsid w:val="7365CC3C"/>
    <w:rsid w:val="73E511BA"/>
    <w:rsid w:val="7431AD58"/>
    <w:rsid w:val="749281C6"/>
    <w:rsid w:val="7499FE83"/>
    <w:rsid w:val="74AABACC"/>
    <w:rsid w:val="74DC329D"/>
    <w:rsid w:val="74E8F83F"/>
    <w:rsid w:val="752F783B"/>
    <w:rsid w:val="75B9BDCB"/>
    <w:rsid w:val="762E798B"/>
    <w:rsid w:val="7675699B"/>
    <w:rsid w:val="76C6F6DE"/>
    <w:rsid w:val="76E247C3"/>
    <w:rsid w:val="76F1D166"/>
    <w:rsid w:val="775E71DE"/>
    <w:rsid w:val="7815C02D"/>
    <w:rsid w:val="787375B8"/>
    <w:rsid w:val="787ACD59"/>
    <w:rsid w:val="788572A0"/>
    <w:rsid w:val="78D4992C"/>
    <w:rsid w:val="7905EF23"/>
    <w:rsid w:val="7938421F"/>
    <w:rsid w:val="79778870"/>
    <w:rsid w:val="79E760B0"/>
    <w:rsid w:val="7A3D9A9F"/>
    <w:rsid w:val="7A908587"/>
    <w:rsid w:val="7BAF1149"/>
    <w:rsid w:val="7BF549B5"/>
    <w:rsid w:val="7C81CE20"/>
    <w:rsid w:val="7C83C5D9"/>
    <w:rsid w:val="7CFB00AF"/>
    <w:rsid w:val="7E8FF1DB"/>
    <w:rsid w:val="7F072FCD"/>
    <w:rsid w:val="7F4FAB69"/>
    <w:rsid w:val="7F71D7F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8CD3F"/>
  <w15:chartTrackingRefBased/>
  <w15:docId w15:val="{97F11AFC-0764-48A1-9214-ECA009124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17EB"/>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215800"/>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49A95F64"/>
    <w:pPr>
      <w:tabs>
        <w:tab w:val="center" w:pos="4680"/>
        <w:tab w:val="right" w:pos="9360"/>
      </w:tabs>
      <w:spacing w:after="0" w:line="240" w:lineRule="auto"/>
    </w:pPr>
  </w:style>
  <w:style w:type="paragraph" w:styleId="Footer">
    <w:name w:val="footer"/>
    <w:basedOn w:val="Normal"/>
    <w:uiPriority w:val="99"/>
    <w:unhideWhenUsed/>
    <w:rsid w:val="49A95F64"/>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rsid w:val="00FD3093"/>
  </w:style>
  <w:style w:type="character" w:customStyle="1" w:styleId="Heading1Char">
    <w:name w:val="Heading 1 Char"/>
    <w:basedOn w:val="DefaultParagraphFont"/>
    <w:link w:val="Heading1"/>
    <w:uiPriority w:val="9"/>
    <w:rsid w:val="00EA17EB"/>
    <w:rPr>
      <w:rFonts w:asciiTheme="majorHAnsi" w:eastAsiaTheme="majorEastAsia" w:hAnsiTheme="majorHAnsi" w:cstheme="majorBidi"/>
      <w:color w:val="0F4761" w:themeColor="accent1" w:themeShade="BF"/>
      <w:sz w:val="32"/>
      <w:szCs w:val="32"/>
    </w:rPr>
  </w:style>
  <w:style w:type="paragraph" w:styleId="TOCHeading">
    <w:name w:val="TOC Heading"/>
    <w:basedOn w:val="Heading1"/>
    <w:next w:val="Normal"/>
    <w:uiPriority w:val="39"/>
    <w:unhideWhenUsed/>
    <w:qFormat/>
    <w:rsid w:val="00EA17EB"/>
    <w:pPr>
      <w:spacing w:before="480" w:line="276" w:lineRule="auto"/>
      <w:outlineLvl w:val="9"/>
    </w:pPr>
    <w:rPr>
      <w:b/>
      <w:bCs/>
      <w:sz w:val="28"/>
      <w:szCs w:val="28"/>
      <w:lang w:eastAsia="en-US"/>
    </w:rPr>
  </w:style>
  <w:style w:type="paragraph" w:styleId="TOC1">
    <w:name w:val="toc 1"/>
    <w:basedOn w:val="Normal"/>
    <w:next w:val="Normal"/>
    <w:autoRedefine/>
    <w:uiPriority w:val="39"/>
    <w:unhideWhenUsed/>
    <w:rsid w:val="00EA17EB"/>
    <w:pPr>
      <w:spacing w:before="120" w:after="0"/>
    </w:pPr>
    <w:rPr>
      <w:b/>
      <w:bCs/>
      <w:i/>
      <w:iCs/>
    </w:rPr>
  </w:style>
  <w:style w:type="paragraph" w:styleId="TOC2">
    <w:name w:val="toc 2"/>
    <w:basedOn w:val="Normal"/>
    <w:next w:val="Normal"/>
    <w:autoRedefine/>
    <w:uiPriority w:val="39"/>
    <w:unhideWhenUsed/>
    <w:rsid w:val="00EA17EB"/>
    <w:pPr>
      <w:spacing w:before="120" w:after="0"/>
      <w:ind w:left="240"/>
    </w:pPr>
    <w:rPr>
      <w:b/>
      <w:bCs/>
      <w:sz w:val="22"/>
      <w:szCs w:val="22"/>
    </w:rPr>
  </w:style>
  <w:style w:type="paragraph" w:styleId="TOC3">
    <w:name w:val="toc 3"/>
    <w:basedOn w:val="Normal"/>
    <w:next w:val="Normal"/>
    <w:autoRedefine/>
    <w:uiPriority w:val="39"/>
    <w:semiHidden/>
    <w:unhideWhenUsed/>
    <w:rsid w:val="00EA17EB"/>
    <w:pPr>
      <w:spacing w:after="0"/>
      <w:ind w:left="480"/>
    </w:pPr>
    <w:rPr>
      <w:sz w:val="20"/>
      <w:szCs w:val="20"/>
    </w:rPr>
  </w:style>
  <w:style w:type="paragraph" w:styleId="TOC4">
    <w:name w:val="toc 4"/>
    <w:basedOn w:val="Normal"/>
    <w:next w:val="Normal"/>
    <w:autoRedefine/>
    <w:uiPriority w:val="39"/>
    <w:semiHidden/>
    <w:unhideWhenUsed/>
    <w:rsid w:val="00EA17EB"/>
    <w:pPr>
      <w:spacing w:after="0"/>
      <w:ind w:left="720"/>
    </w:pPr>
    <w:rPr>
      <w:sz w:val="20"/>
      <w:szCs w:val="20"/>
    </w:rPr>
  </w:style>
  <w:style w:type="paragraph" w:styleId="TOC5">
    <w:name w:val="toc 5"/>
    <w:basedOn w:val="Normal"/>
    <w:next w:val="Normal"/>
    <w:autoRedefine/>
    <w:uiPriority w:val="39"/>
    <w:semiHidden/>
    <w:unhideWhenUsed/>
    <w:rsid w:val="00EA17EB"/>
    <w:pPr>
      <w:spacing w:after="0"/>
      <w:ind w:left="960"/>
    </w:pPr>
    <w:rPr>
      <w:sz w:val="20"/>
      <w:szCs w:val="20"/>
    </w:rPr>
  </w:style>
  <w:style w:type="paragraph" w:styleId="TOC6">
    <w:name w:val="toc 6"/>
    <w:basedOn w:val="Normal"/>
    <w:next w:val="Normal"/>
    <w:autoRedefine/>
    <w:uiPriority w:val="39"/>
    <w:semiHidden/>
    <w:unhideWhenUsed/>
    <w:rsid w:val="00EA17EB"/>
    <w:pPr>
      <w:spacing w:after="0"/>
      <w:ind w:left="1200"/>
    </w:pPr>
    <w:rPr>
      <w:sz w:val="20"/>
      <w:szCs w:val="20"/>
    </w:rPr>
  </w:style>
  <w:style w:type="paragraph" w:styleId="TOC7">
    <w:name w:val="toc 7"/>
    <w:basedOn w:val="Normal"/>
    <w:next w:val="Normal"/>
    <w:autoRedefine/>
    <w:uiPriority w:val="39"/>
    <w:semiHidden/>
    <w:unhideWhenUsed/>
    <w:rsid w:val="00EA17EB"/>
    <w:pPr>
      <w:spacing w:after="0"/>
      <w:ind w:left="1440"/>
    </w:pPr>
    <w:rPr>
      <w:sz w:val="20"/>
      <w:szCs w:val="20"/>
    </w:rPr>
  </w:style>
  <w:style w:type="paragraph" w:styleId="TOC8">
    <w:name w:val="toc 8"/>
    <w:basedOn w:val="Normal"/>
    <w:next w:val="Normal"/>
    <w:autoRedefine/>
    <w:uiPriority w:val="39"/>
    <w:semiHidden/>
    <w:unhideWhenUsed/>
    <w:rsid w:val="00EA17EB"/>
    <w:pPr>
      <w:spacing w:after="0"/>
      <w:ind w:left="1680"/>
    </w:pPr>
    <w:rPr>
      <w:sz w:val="20"/>
      <w:szCs w:val="20"/>
    </w:rPr>
  </w:style>
  <w:style w:type="paragraph" w:styleId="TOC9">
    <w:name w:val="toc 9"/>
    <w:basedOn w:val="Normal"/>
    <w:next w:val="Normal"/>
    <w:autoRedefine/>
    <w:uiPriority w:val="39"/>
    <w:semiHidden/>
    <w:unhideWhenUsed/>
    <w:rsid w:val="00EA17EB"/>
    <w:pPr>
      <w:spacing w:after="0"/>
      <w:ind w:left="1920"/>
    </w:pPr>
    <w:rPr>
      <w:sz w:val="20"/>
      <w:szCs w:val="20"/>
    </w:rPr>
  </w:style>
  <w:style w:type="character" w:customStyle="1" w:styleId="Heading2Char">
    <w:name w:val="Heading 2 Char"/>
    <w:basedOn w:val="DefaultParagraphFont"/>
    <w:link w:val="Heading2"/>
    <w:uiPriority w:val="9"/>
    <w:rsid w:val="00215800"/>
    <w:rPr>
      <w:rFonts w:asciiTheme="majorHAnsi" w:eastAsiaTheme="majorEastAsia" w:hAnsiTheme="majorHAnsi" w:cstheme="majorBidi"/>
      <w:color w:val="0F4761" w:themeColor="accent1" w:themeShade="BF"/>
      <w:sz w:val="26"/>
      <w:szCs w:val="26"/>
    </w:rPr>
  </w:style>
  <w:style w:type="paragraph" w:styleId="NormalWeb">
    <w:name w:val="Normal (Web)"/>
    <w:basedOn w:val="Normal"/>
    <w:uiPriority w:val="99"/>
    <w:unhideWhenUsed/>
    <w:rsid w:val="00215800"/>
    <w:pPr>
      <w:spacing w:before="100" w:beforeAutospacing="1" w:after="100" w:afterAutospacing="1" w:line="240" w:lineRule="auto"/>
    </w:pPr>
    <w:rPr>
      <w:rFonts w:ascii="Times New Roman" w:eastAsia="Times New Roman" w:hAnsi="Times New Roman" w:cs="Times New Roman"/>
      <w:lang w:eastAsia="en-US"/>
    </w:rPr>
  </w:style>
  <w:style w:type="character" w:customStyle="1" w:styleId="apple-tab-span">
    <w:name w:val="apple-tab-span"/>
    <w:basedOn w:val="DefaultParagraphFont"/>
    <w:rsid w:val="00215800"/>
  </w:style>
  <w:style w:type="character" w:styleId="Hyperlink">
    <w:name w:val="Hyperlink"/>
    <w:basedOn w:val="DefaultParagraphFont"/>
    <w:uiPriority w:val="99"/>
    <w:unhideWhenUsed/>
    <w:rsid w:val="00215800"/>
    <w:rPr>
      <w:color w:val="0000FF"/>
      <w:u w:val="single"/>
    </w:rPr>
  </w:style>
  <w:style w:type="character" w:styleId="PageNumber">
    <w:name w:val="page number"/>
    <w:basedOn w:val="DefaultParagraphFont"/>
    <w:uiPriority w:val="99"/>
    <w:semiHidden/>
    <w:unhideWhenUsed/>
    <w:rsid w:val="00B92D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S0140-6736(02)08336-8" TargetMode="External"/><Relationship Id="rId18" Type="http://schemas.openxmlformats.org/officeDocument/2006/relationships/hyperlink" Target="https://www.cdc.gov/intimate-partner-violence/risk-factors/index.html" TargetMode="External"/><Relationship Id="rId26" Type="http://schemas.openxmlformats.org/officeDocument/2006/relationships/hyperlink" Target="https://eige.europa.eu/" TargetMode="External"/><Relationship Id="rId39" Type="http://schemas.openxmlformats.org/officeDocument/2006/relationships/hyperlink" Target="https://doi.org/10.1111/acps.12087" TargetMode="External"/><Relationship Id="rId21" Type="http://schemas.openxmlformats.org/officeDocument/2006/relationships/hyperlink" Target="https://doi.org/10.1038/s41398-020-0796-8" TargetMode="External"/><Relationship Id="rId34" Type="http://schemas.openxmlformats.org/officeDocument/2006/relationships/hyperlink" Target="https://www.ncbi.nlm.nih.gov/books/NBK558998/" TargetMode="External"/><Relationship Id="rId42" Type="http://schemas.openxmlformats.org/officeDocument/2006/relationships/hyperlink" Target="https://www.mind.org.uk/information-support/types-of-mental-health-problems/bipolar-disorder/causes-of-bipolar/" TargetMode="External"/><Relationship Id="rId47" Type="http://schemas.openxmlformats.org/officeDocument/2006/relationships/hyperlink" Target="https://www.project-safe.org/" TargetMode="External"/><Relationship Id="rId50" Type="http://schemas.openxmlformats.org/officeDocument/2006/relationships/hyperlink" Target="https://doi.org/10.1176/appi.ps.202000166" TargetMode="External"/><Relationship Id="rId55" Type="http://schemas.openxmlformats.org/officeDocument/2006/relationships/hyperlink" Target="https://www.who.int/news-room/fact-sheets/detail/bipolar-disorder"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cdc.gov/intimate-partner-violence/about/index.html" TargetMode="External"/><Relationship Id="rId29" Type="http://schemas.openxmlformats.org/officeDocument/2006/relationships/hyperlink" Target="https://pmc.ncbi.nlm.nih.gov/articles/PMC4935164/" TargetMode="External"/><Relationship Id="rId11" Type="http://schemas.openxmlformats.org/officeDocument/2006/relationships/hyperlink" Target="https://www.accgov.com/" TargetMode="External"/><Relationship Id="rId24" Type="http://schemas.openxmlformats.org/officeDocument/2006/relationships/hyperlink" Target="https://doi.org/10.1007/978-3-030-98301-7_11" TargetMode="External"/><Relationship Id="rId32" Type="http://schemas.openxmlformats.org/officeDocument/2006/relationships/hyperlink" Target="https://doi.org/10.1007/s10826-015-0199-7" TargetMode="External"/><Relationship Id="rId37" Type="http://schemas.openxmlformats.org/officeDocument/2006/relationships/hyperlink" Target="https://journalbipolardisorders.springeropen.com/articles/10.1186/s40345-023-00290-y" TargetMode="External"/><Relationship Id="rId40" Type="http://schemas.openxmlformats.org/officeDocument/2006/relationships/hyperlink" Target="http://www.mayoclinic.org/diseases-conditions/bipolar-disorder/symptoms-causes/syc-20355955" TargetMode="External"/><Relationship Id="rId45" Type="http://schemas.openxmlformats.org/officeDocument/2006/relationships/hyperlink" Target="https://pmc.ncbi.nlm.nih.gov/articles/PMC4539870/" TargetMode="External"/><Relationship Id="rId53" Type="http://schemas.openxmlformats.org/officeDocument/2006/relationships/hyperlink" Target="https://www.hudexchange.info/programs/coc/coc-program-eligibility-requirements/" TargetMode="External"/><Relationship Id="rId58" Type="http://schemas.openxmlformats.org/officeDocument/2006/relationships/header" Target="header2.xm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www.cdc.gov/mmwr/volumes/73/wr/mm7348a1.htm" TargetMode="External"/><Relationship Id="rId14" Type="http://schemas.openxmlformats.org/officeDocument/2006/relationships/hyperlink" Target="https://doi.org/10.1891/1946-6560.3.2.231" TargetMode="External"/><Relationship Id="rId22" Type="http://schemas.openxmlformats.org/officeDocument/2006/relationships/hyperlink" Target="https://doi.org/10.1016/j.amepre.2017.01.020" TargetMode="External"/><Relationship Id="rId27" Type="http://schemas.openxmlformats.org/officeDocument/2006/relationships/hyperlink" Target="https://doi.org/10.1176/appi.ps.202100027" TargetMode="External"/><Relationship Id="rId30" Type="http://schemas.openxmlformats.org/officeDocument/2006/relationships/hyperlink" Target="https://doi.org/10.1186/s12888-019-2415-x" TargetMode="External"/><Relationship Id="rId35" Type="http://schemas.openxmlformats.org/officeDocument/2006/relationships/hyperlink" Target="https://doi.org/10.1186/s12889-022-13297-4" TargetMode="External"/><Relationship Id="rId43" Type="http://schemas.openxmlformats.org/officeDocument/2006/relationships/hyperlink" Target="http://www.nimh.nih.gov/health/publications/bipolar-disorder" TargetMode="External"/><Relationship Id="rId48" Type="http://schemas.openxmlformats.org/officeDocument/2006/relationships/hyperlink" Target="https://www.cdc.gov/violenceprevention/pdf/2015data-brief508.pdf" TargetMode="External"/><Relationship Id="rId56" Type="http://schemas.openxmlformats.org/officeDocument/2006/relationships/hyperlink" Target="https://doi.org/10.1016/j.lana.2024.100629" TargetMode="External"/><Relationship Id="rId64" Type="http://schemas.microsoft.com/office/2020/10/relationships/intelligence" Target="intelligence2.xml"/><Relationship Id="rId8" Type="http://schemas.openxmlformats.org/officeDocument/2006/relationships/hyperlink" Target="https://advantagebhs.org/" TargetMode="External"/><Relationship Id="rId51" Type="http://schemas.openxmlformats.org/officeDocument/2006/relationships/hyperlink" Target="https://www.nimh.nih.gov/health/statistics/bipolar-disorder" TargetMode="External"/><Relationship Id="rId3" Type="http://schemas.openxmlformats.org/officeDocument/2006/relationships/styles" Target="styles.xml"/><Relationship Id="rId12" Type="http://schemas.openxmlformats.org/officeDocument/2006/relationships/hyperlink" Target="https://www.nami.org/about-mental-illness/mental-health-conditions/bipolar-disorder/" TargetMode="External"/><Relationship Id="rId17" Type="http://schemas.openxmlformats.org/officeDocument/2006/relationships/hyperlink" Target="https://www.cdc.gov/intimate-partner-violence/about/about-teen-dating-violence.html" TargetMode="External"/><Relationship Id="rId25" Type="http://schemas.openxmlformats.org/officeDocument/2006/relationships/hyperlink" Target="https://doi.org/10.1126/science.1240937" TargetMode="External"/><Relationship Id="rId33" Type="http://schemas.openxmlformats.org/officeDocument/2006/relationships/hyperlink" Target="https://iwpr.org/dreams-deferred-a-survey-on-the-impact-of-intimate-partner-violence-on-survivors-education-careers-and-economic-security/?utm_source=chatgpt.com" TargetMode="External"/><Relationship Id="rId38" Type="http://schemas.openxmlformats.org/officeDocument/2006/relationships/hyperlink" Target="https://doi.org/10.3233/JVR-130666" TargetMode="External"/><Relationship Id="rId46" Type="http://schemas.openxmlformats.org/officeDocument/2006/relationships/hyperlink" Target="https://doi.org/10.1016/j.amepre.2018.04.049" TargetMode="External"/><Relationship Id="rId59" Type="http://schemas.openxmlformats.org/officeDocument/2006/relationships/footer" Target="footer1.xml"/><Relationship Id="rId20" Type="http://schemas.openxmlformats.org/officeDocument/2006/relationships/hyperlink" Target="https://www.ncbi.nlm.nih.gov/books/NBK138725/" TargetMode="External"/><Relationship Id="rId41" Type="http://schemas.openxmlformats.org/officeDocument/2006/relationships/hyperlink" Target="https://www.mercyhealthcenter.net/" TargetMode="External"/><Relationship Id="rId54" Type="http://schemas.openxmlformats.org/officeDocument/2006/relationships/hyperlink" Target="https://www.who.int/publications/i/item/9789240022256" TargetMode="External"/><Relationship Id="rId62"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cdc.gov/nisvs/documentation/NISVSReportonIPV_2022.pdf" TargetMode="External"/><Relationship Id="rId23" Type="http://schemas.openxmlformats.org/officeDocument/2006/relationships/hyperlink" Target="https://doi.org/10.2105/AJPH.2019.305129" TargetMode="External"/><Relationship Id="rId28" Type="http://schemas.openxmlformats.org/officeDocument/2006/relationships/hyperlink" Target="https://www.gateway.ga.gov/access/" TargetMode="External"/><Relationship Id="rId36" Type="http://schemas.openxmlformats.org/officeDocument/2006/relationships/hyperlink" Target="https://doi.org/10.1007/s11920-012-0325-4" TargetMode="External"/><Relationship Id="rId49" Type="http://schemas.openxmlformats.org/officeDocument/2006/relationships/hyperlink" Target="https://doi.org/10.1177/070674371405901s05" TargetMode="External"/><Relationship Id="rId57" Type="http://schemas.openxmlformats.org/officeDocument/2006/relationships/header" Target="header1.xml"/><Relationship Id="rId10" Type="http://schemas.openxmlformats.org/officeDocument/2006/relationships/hyperlink" Target="https://www.anhc.clinic/" TargetMode="External"/><Relationship Id="rId31" Type="http://schemas.openxmlformats.org/officeDocument/2006/relationships/hyperlink" Target="https://doi.org/10.1016/j.ijgo.2015.10.023" TargetMode="External"/><Relationship Id="rId44" Type="http://schemas.openxmlformats.org/officeDocument/2006/relationships/hyperlink" Target="https://www.nyc.gov/site/ocdv/services/economic-empowerment.page" TargetMode="External"/><Relationship Id="rId52" Type="http://schemas.openxmlformats.org/officeDocument/2006/relationships/hyperlink" Target="https://womenseconomiccouncil.ca/" TargetMode="External"/><Relationship Id="rId6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ahrq.gov/ncepcr/care/coordination/coordcare.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2932325F65CB7418C16552A48701E33"/>
        <w:category>
          <w:name w:val="General"/>
          <w:gallery w:val="placeholder"/>
        </w:category>
        <w:types>
          <w:type w:val="bbPlcHdr"/>
        </w:types>
        <w:behaviors>
          <w:behavior w:val="content"/>
        </w:behaviors>
        <w:guid w:val="{44D4C6C8-B6BE-374E-BB6F-A7D20BC84E04}"/>
      </w:docPartPr>
      <w:docPartBody>
        <w:p w:rsidR="00112F2D" w:rsidRDefault="005F6D43" w:rsidP="005F6D43">
          <w:pPr>
            <w:pStyle w:val="A2932325F65CB7418C16552A48701E33"/>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D43"/>
    <w:rsid w:val="000114B5"/>
    <w:rsid w:val="00112F2D"/>
    <w:rsid w:val="00167829"/>
    <w:rsid w:val="002446EC"/>
    <w:rsid w:val="00325F06"/>
    <w:rsid w:val="003B3CE5"/>
    <w:rsid w:val="004054AF"/>
    <w:rsid w:val="00430155"/>
    <w:rsid w:val="00440180"/>
    <w:rsid w:val="00491B54"/>
    <w:rsid w:val="005F6D43"/>
    <w:rsid w:val="00734F3A"/>
    <w:rsid w:val="007D6B1B"/>
    <w:rsid w:val="00A203CF"/>
    <w:rsid w:val="00C57BD0"/>
    <w:rsid w:val="00D15280"/>
    <w:rsid w:val="00EA3224"/>
    <w:rsid w:val="00EF26B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932325F65CB7418C16552A48701E33">
    <w:name w:val="A2932325F65CB7418C16552A48701E33"/>
    <w:rsid w:val="005F6D4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1D0C34-F350-F74C-98E0-D8F2E774C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13834</Words>
  <Characters>78857</Characters>
  <Application>Microsoft Office Word</Application>
  <DocSecurity>4</DocSecurity>
  <Lines>657</Lines>
  <Paragraphs>185</Paragraphs>
  <ScaleCrop>false</ScaleCrop>
  <Company/>
  <LinksUpToDate>false</LinksUpToDate>
  <CharactersWithSpaces>92506</CharactersWithSpaces>
  <SharedDoc>false</SharedDoc>
  <HLinks>
    <vt:vector size="462" baseType="variant">
      <vt:variant>
        <vt:i4>2949165</vt:i4>
      </vt:variant>
      <vt:variant>
        <vt:i4>315</vt:i4>
      </vt:variant>
      <vt:variant>
        <vt:i4>0</vt:i4>
      </vt:variant>
      <vt:variant>
        <vt:i4>5</vt:i4>
      </vt:variant>
      <vt:variant>
        <vt:lpwstr>https://doi.org/10.1016/j.lana.2024.100629</vt:lpwstr>
      </vt:variant>
      <vt:variant>
        <vt:lpwstr/>
      </vt:variant>
      <vt:variant>
        <vt:i4>5701723</vt:i4>
      </vt:variant>
      <vt:variant>
        <vt:i4>312</vt:i4>
      </vt:variant>
      <vt:variant>
        <vt:i4>0</vt:i4>
      </vt:variant>
      <vt:variant>
        <vt:i4>5</vt:i4>
      </vt:variant>
      <vt:variant>
        <vt:lpwstr>https://www.who.int/news-room/fact-sheets/detail/bipolar-disorder</vt:lpwstr>
      </vt:variant>
      <vt:variant>
        <vt:lpwstr/>
      </vt:variant>
      <vt:variant>
        <vt:i4>1704002</vt:i4>
      </vt:variant>
      <vt:variant>
        <vt:i4>309</vt:i4>
      </vt:variant>
      <vt:variant>
        <vt:i4>0</vt:i4>
      </vt:variant>
      <vt:variant>
        <vt:i4>5</vt:i4>
      </vt:variant>
      <vt:variant>
        <vt:lpwstr>https://www.who.int/publications/i/item/9789240022256</vt:lpwstr>
      </vt:variant>
      <vt:variant>
        <vt:lpwstr/>
      </vt:variant>
      <vt:variant>
        <vt:i4>2621554</vt:i4>
      </vt:variant>
      <vt:variant>
        <vt:i4>306</vt:i4>
      </vt:variant>
      <vt:variant>
        <vt:i4>0</vt:i4>
      </vt:variant>
      <vt:variant>
        <vt:i4>5</vt:i4>
      </vt:variant>
      <vt:variant>
        <vt:lpwstr>https://www.hudexchange.info/programs/coc/coc-program-eligibility-requirements/</vt:lpwstr>
      </vt:variant>
      <vt:variant>
        <vt:lpwstr/>
      </vt:variant>
      <vt:variant>
        <vt:i4>4980802</vt:i4>
      </vt:variant>
      <vt:variant>
        <vt:i4>303</vt:i4>
      </vt:variant>
      <vt:variant>
        <vt:i4>0</vt:i4>
      </vt:variant>
      <vt:variant>
        <vt:i4>5</vt:i4>
      </vt:variant>
      <vt:variant>
        <vt:lpwstr>https://womenseconomiccouncil.ca/</vt:lpwstr>
      </vt:variant>
      <vt:variant>
        <vt:lpwstr/>
      </vt:variant>
      <vt:variant>
        <vt:i4>6881376</vt:i4>
      </vt:variant>
      <vt:variant>
        <vt:i4>300</vt:i4>
      </vt:variant>
      <vt:variant>
        <vt:i4>0</vt:i4>
      </vt:variant>
      <vt:variant>
        <vt:i4>5</vt:i4>
      </vt:variant>
      <vt:variant>
        <vt:lpwstr>https://www.nimh.nih.gov/health/statistics/bipolar-disorder</vt:lpwstr>
      </vt:variant>
      <vt:variant>
        <vt:lpwstr/>
      </vt:variant>
      <vt:variant>
        <vt:i4>5570576</vt:i4>
      </vt:variant>
      <vt:variant>
        <vt:i4>297</vt:i4>
      </vt:variant>
      <vt:variant>
        <vt:i4>0</vt:i4>
      </vt:variant>
      <vt:variant>
        <vt:i4>5</vt:i4>
      </vt:variant>
      <vt:variant>
        <vt:lpwstr>https://doi.org/10.1176/appi.ps.202000166</vt:lpwstr>
      </vt:variant>
      <vt:variant>
        <vt:lpwstr/>
      </vt:variant>
      <vt:variant>
        <vt:i4>6357089</vt:i4>
      </vt:variant>
      <vt:variant>
        <vt:i4>294</vt:i4>
      </vt:variant>
      <vt:variant>
        <vt:i4>0</vt:i4>
      </vt:variant>
      <vt:variant>
        <vt:i4>5</vt:i4>
      </vt:variant>
      <vt:variant>
        <vt:lpwstr>https://doi.org/10.1177/070674371405901s05</vt:lpwstr>
      </vt:variant>
      <vt:variant>
        <vt:lpwstr/>
      </vt:variant>
      <vt:variant>
        <vt:i4>327763</vt:i4>
      </vt:variant>
      <vt:variant>
        <vt:i4>291</vt:i4>
      </vt:variant>
      <vt:variant>
        <vt:i4>0</vt:i4>
      </vt:variant>
      <vt:variant>
        <vt:i4>5</vt:i4>
      </vt:variant>
      <vt:variant>
        <vt:lpwstr>https://www.cdc.gov/violenceprevention/pdf/2015data-brief508.pdf</vt:lpwstr>
      </vt:variant>
      <vt:variant>
        <vt:lpwstr/>
      </vt:variant>
      <vt:variant>
        <vt:i4>1179655</vt:i4>
      </vt:variant>
      <vt:variant>
        <vt:i4>288</vt:i4>
      </vt:variant>
      <vt:variant>
        <vt:i4>0</vt:i4>
      </vt:variant>
      <vt:variant>
        <vt:i4>5</vt:i4>
      </vt:variant>
      <vt:variant>
        <vt:lpwstr>https://www.project-safe.org/</vt:lpwstr>
      </vt:variant>
      <vt:variant>
        <vt:lpwstr/>
      </vt:variant>
      <vt:variant>
        <vt:i4>5505100</vt:i4>
      </vt:variant>
      <vt:variant>
        <vt:i4>285</vt:i4>
      </vt:variant>
      <vt:variant>
        <vt:i4>0</vt:i4>
      </vt:variant>
      <vt:variant>
        <vt:i4>5</vt:i4>
      </vt:variant>
      <vt:variant>
        <vt:lpwstr>https://doi.org/10.1016/j.amepre.2018.04.049</vt:lpwstr>
      </vt:variant>
      <vt:variant>
        <vt:lpwstr/>
      </vt:variant>
      <vt:variant>
        <vt:i4>1179672</vt:i4>
      </vt:variant>
      <vt:variant>
        <vt:i4>282</vt:i4>
      </vt:variant>
      <vt:variant>
        <vt:i4>0</vt:i4>
      </vt:variant>
      <vt:variant>
        <vt:i4>5</vt:i4>
      </vt:variant>
      <vt:variant>
        <vt:lpwstr>https://pmc.ncbi.nlm.nih.gov/articles/PMC4539870/</vt:lpwstr>
      </vt:variant>
      <vt:variant>
        <vt:lpwstr/>
      </vt:variant>
      <vt:variant>
        <vt:i4>1769558</vt:i4>
      </vt:variant>
      <vt:variant>
        <vt:i4>279</vt:i4>
      </vt:variant>
      <vt:variant>
        <vt:i4>0</vt:i4>
      </vt:variant>
      <vt:variant>
        <vt:i4>5</vt:i4>
      </vt:variant>
      <vt:variant>
        <vt:lpwstr>https://www.nyc.gov/site/ocdv/services/economic-empowerment.page</vt:lpwstr>
      </vt:variant>
      <vt:variant>
        <vt:lpwstr/>
      </vt:variant>
      <vt:variant>
        <vt:i4>524298</vt:i4>
      </vt:variant>
      <vt:variant>
        <vt:i4>276</vt:i4>
      </vt:variant>
      <vt:variant>
        <vt:i4>0</vt:i4>
      </vt:variant>
      <vt:variant>
        <vt:i4>5</vt:i4>
      </vt:variant>
      <vt:variant>
        <vt:lpwstr>http://www.nimh.nih.gov/health/publications/bipolar-disorder</vt:lpwstr>
      </vt:variant>
      <vt:variant>
        <vt:lpwstr/>
      </vt:variant>
      <vt:variant>
        <vt:i4>3342368</vt:i4>
      </vt:variant>
      <vt:variant>
        <vt:i4>273</vt:i4>
      </vt:variant>
      <vt:variant>
        <vt:i4>0</vt:i4>
      </vt:variant>
      <vt:variant>
        <vt:i4>5</vt:i4>
      </vt:variant>
      <vt:variant>
        <vt:lpwstr>https://www.mind.org.uk/information-support/types-of-mental-health-problems/bipolar-disorder/causes-of-bipolar/</vt:lpwstr>
      </vt:variant>
      <vt:variant>
        <vt:lpwstr/>
      </vt:variant>
      <vt:variant>
        <vt:i4>4128830</vt:i4>
      </vt:variant>
      <vt:variant>
        <vt:i4>270</vt:i4>
      </vt:variant>
      <vt:variant>
        <vt:i4>0</vt:i4>
      </vt:variant>
      <vt:variant>
        <vt:i4>5</vt:i4>
      </vt:variant>
      <vt:variant>
        <vt:lpwstr>https://www.mercyhealthcenter.net/</vt:lpwstr>
      </vt:variant>
      <vt:variant>
        <vt:lpwstr/>
      </vt:variant>
      <vt:variant>
        <vt:i4>7274600</vt:i4>
      </vt:variant>
      <vt:variant>
        <vt:i4>267</vt:i4>
      </vt:variant>
      <vt:variant>
        <vt:i4>0</vt:i4>
      </vt:variant>
      <vt:variant>
        <vt:i4>5</vt:i4>
      </vt:variant>
      <vt:variant>
        <vt:lpwstr>http://www.mayoclinic.org/diseases-conditions/bipolar-disorder/symptoms-causes/syc-20355955</vt:lpwstr>
      </vt:variant>
      <vt:variant>
        <vt:lpwstr/>
      </vt:variant>
      <vt:variant>
        <vt:i4>3407983</vt:i4>
      </vt:variant>
      <vt:variant>
        <vt:i4>264</vt:i4>
      </vt:variant>
      <vt:variant>
        <vt:i4>0</vt:i4>
      </vt:variant>
      <vt:variant>
        <vt:i4>5</vt:i4>
      </vt:variant>
      <vt:variant>
        <vt:lpwstr>https://doi.org/10.1111/acps.12087</vt:lpwstr>
      </vt:variant>
      <vt:variant>
        <vt:lpwstr/>
      </vt:variant>
      <vt:variant>
        <vt:i4>7995508</vt:i4>
      </vt:variant>
      <vt:variant>
        <vt:i4>261</vt:i4>
      </vt:variant>
      <vt:variant>
        <vt:i4>0</vt:i4>
      </vt:variant>
      <vt:variant>
        <vt:i4>5</vt:i4>
      </vt:variant>
      <vt:variant>
        <vt:lpwstr>https://doi.org/10.3233/JVR-130666</vt:lpwstr>
      </vt:variant>
      <vt:variant>
        <vt:lpwstr/>
      </vt:variant>
      <vt:variant>
        <vt:i4>1245274</vt:i4>
      </vt:variant>
      <vt:variant>
        <vt:i4>258</vt:i4>
      </vt:variant>
      <vt:variant>
        <vt:i4>0</vt:i4>
      </vt:variant>
      <vt:variant>
        <vt:i4>5</vt:i4>
      </vt:variant>
      <vt:variant>
        <vt:lpwstr>https://journalbipolardisorders.springeropen.com/articles/10.1186/s40345-023-00290-y</vt:lpwstr>
      </vt:variant>
      <vt:variant>
        <vt:lpwstr/>
      </vt:variant>
      <vt:variant>
        <vt:i4>393242</vt:i4>
      </vt:variant>
      <vt:variant>
        <vt:i4>255</vt:i4>
      </vt:variant>
      <vt:variant>
        <vt:i4>0</vt:i4>
      </vt:variant>
      <vt:variant>
        <vt:i4>5</vt:i4>
      </vt:variant>
      <vt:variant>
        <vt:lpwstr>https://doi.org/10.1007/s11920-012-0325-4</vt:lpwstr>
      </vt:variant>
      <vt:variant>
        <vt:lpwstr/>
      </vt:variant>
      <vt:variant>
        <vt:i4>2687025</vt:i4>
      </vt:variant>
      <vt:variant>
        <vt:i4>252</vt:i4>
      </vt:variant>
      <vt:variant>
        <vt:i4>0</vt:i4>
      </vt:variant>
      <vt:variant>
        <vt:i4>5</vt:i4>
      </vt:variant>
      <vt:variant>
        <vt:lpwstr>https://doi.org/10.1186/s12889-022-13297-4</vt:lpwstr>
      </vt:variant>
      <vt:variant>
        <vt:lpwstr/>
      </vt:variant>
      <vt:variant>
        <vt:i4>1638490</vt:i4>
      </vt:variant>
      <vt:variant>
        <vt:i4>249</vt:i4>
      </vt:variant>
      <vt:variant>
        <vt:i4>0</vt:i4>
      </vt:variant>
      <vt:variant>
        <vt:i4>5</vt:i4>
      </vt:variant>
      <vt:variant>
        <vt:lpwstr>https://www.ncbi.nlm.nih.gov/books/NBK558998/</vt:lpwstr>
      </vt:variant>
      <vt:variant>
        <vt:lpwstr/>
      </vt:variant>
      <vt:variant>
        <vt:i4>4259942</vt:i4>
      </vt:variant>
      <vt:variant>
        <vt:i4>246</vt:i4>
      </vt:variant>
      <vt:variant>
        <vt:i4>0</vt:i4>
      </vt:variant>
      <vt:variant>
        <vt:i4>5</vt:i4>
      </vt:variant>
      <vt:variant>
        <vt:lpwstr>https://iwpr.org/dreams-deferred-a-survey-on-the-impact-of-intimate-partner-violence-on-survivors-education-careers-and-economic-security/?utm_source=chatgpt.com</vt:lpwstr>
      </vt:variant>
      <vt:variant>
        <vt:lpwstr/>
      </vt:variant>
      <vt:variant>
        <vt:i4>851989</vt:i4>
      </vt:variant>
      <vt:variant>
        <vt:i4>243</vt:i4>
      </vt:variant>
      <vt:variant>
        <vt:i4>0</vt:i4>
      </vt:variant>
      <vt:variant>
        <vt:i4>5</vt:i4>
      </vt:variant>
      <vt:variant>
        <vt:lpwstr>https://doi.org/10.1007/s10826-015-0199-7</vt:lpwstr>
      </vt:variant>
      <vt:variant>
        <vt:lpwstr/>
      </vt:variant>
      <vt:variant>
        <vt:i4>2555966</vt:i4>
      </vt:variant>
      <vt:variant>
        <vt:i4>240</vt:i4>
      </vt:variant>
      <vt:variant>
        <vt:i4>0</vt:i4>
      </vt:variant>
      <vt:variant>
        <vt:i4>5</vt:i4>
      </vt:variant>
      <vt:variant>
        <vt:lpwstr>https://doi.org/10.1016/j.ijgo.2015.10.023</vt:lpwstr>
      </vt:variant>
      <vt:variant>
        <vt:lpwstr/>
      </vt:variant>
      <vt:variant>
        <vt:i4>851988</vt:i4>
      </vt:variant>
      <vt:variant>
        <vt:i4>237</vt:i4>
      </vt:variant>
      <vt:variant>
        <vt:i4>0</vt:i4>
      </vt:variant>
      <vt:variant>
        <vt:i4>5</vt:i4>
      </vt:variant>
      <vt:variant>
        <vt:lpwstr>https://doi.org/10.1186/s12888-019-2415-x</vt:lpwstr>
      </vt:variant>
      <vt:variant>
        <vt:lpwstr/>
      </vt:variant>
      <vt:variant>
        <vt:i4>2031641</vt:i4>
      </vt:variant>
      <vt:variant>
        <vt:i4>234</vt:i4>
      </vt:variant>
      <vt:variant>
        <vt:i4>0</vt:i4>
      </vt:variant>
      <vt:variant>
        <vt:i4>5</vt:i4>
      </vt:variant>
      <vt:variant>
        <vt:lpwstr>https://pmc.ncbi.nlm.nih.gov/articles/PMC4935164/</vt:lpwstr>
      </vt:variant>
      <vt:variant>
        <vt:lpwstr/>
      </vt:variant>
      <vt:variant>
        <vt:i4>2949153</vt:i4>
      </vt:variant>
      <vt:variant>
        <vt:i4>231</vt:i4>
      </vt:variant>
      <vt:variant>
        <vt:i4>0</vt:i4>
      </vt:variant>
      <vt:variant>
        <vt:i4>5</vt:i4>
      </vt:variant>
      <vt:variant>
        <vt:lpwstr>https://www.gateway.ga.gov/access/</vt:lpwstr>
      </vt:variant>
      <vt:variant>
        <vt:lpwstr/>
      </vt:variant>
      <vt:variant>
        <vt:i4>5242897</vt:i4>
      </vt:variant>
      <vt:variant>
        <vt:i4>228</vt:i4>
      </vt:variant>
      <vt:variant>
        <vt:i4>0</vt:i4>
      </vt:variant>
      <vt:variant>
        <vt:i4>5</vt:i4>
      </vt:variant>
      <vt:variant>
        <vt:lpwstr>https://doi.org/10.1176/appi.ps.202100027</vt:lpwstr>
      </vt:variant>
      <vt:variant>
        <vt:lpwstr/>
      </vt:variant>
      <vt:variant>
        <vt:i4>2162802</vt:i4>
      </vt:variant>
      <vt:variant>
        <vt:i4>225</vt:i4>
      </vt:variant>
      <vt:variant>
        <vt:i4>0</vt:i4>
      </vt:variant>
      <vt:variant>
        <vt:i4>5</vt:i4>
      </vt:variant>
      <vt:variant>
        <vt:lpwstr>https://eige.europa.eu/</vt:lpwstr>
      </vt:variant>
      <vt:variant>
        <vt:lpwstr/>
      </vt:variant>
      <vt:variant>
        <vt:i4>7012464</vt:i4>
      </vt:variant>
      <vt:variant>
        <vt:i4>222</vt:i4>
      </vt:variant>
      <vt:variant>
        <vt:i4>0</vt:i4>
      </vt:variant>
      <vt:variant>
        <vt:i4>5</vt:i4>
      </vt:variant>
      <vt:variant>
        <vt:lpwstr>https://doi.org/10.1126/science.1240937</vt:lpwstr>
      </vt:variant>
      <vt:variant>
        <vt:lpwstr/>
      </vt:variant>
      <vt:variant>
        <vt:i4>7405650</vt:i4>
      </vt:variant>
      <vt:variant>
        <vt:i4>219</vt:i4>
      </vt:variant>
      <vt:variant>
        <vt:i4>0</vt:i4>
      </vt:variant>
      <vt:variant>
        <vt:i4>5</vt:i4>
      </vt:variant>
      <vt:variant>
        <vt:lpwstr>https://doi.org/10.1007/978-3-030-98301-7_11</vt:lpwstr>
      </vt:variant>
      <vt:variant>
        <vt:lpwstr/>
      </vt:variant>
      <vt:variant>
        <vt:i4>458844</vt:i4>
      </vt:variant>
      <vt:variant>
        <vt:i4>216</vt:i4>
      </vt:variant>
      <vt:variant>
        <vt:i4>0</vt:i4>
      </vt:variant>
      <vt:variant>
        <vt:i4>5</vt:i4>
      </vt:variant>
      <vt:variant>
        <vt:lpwstr>https://doi.org/10.2105/AJPH.2019.305129</vt:lpwstr>
      </vt:variant>
      <vt:variant>
        <vt:lpwstr/>
      </vt:variant>
      <vt:variant>
        <vt:i4>5767237</vt:i4>
      </vt:variant>
      <vt:variant>
        <vt:i4>213</vt:i4>
      </vt:variant>
      <vt:variant>
        <vt:i4>0</vt:i4>
      </vt:variant>
      <vt:variant>
        <vt:i4>5</vt:i4>
      </vt:variant>
      <vt:variant>
        <vt:lpwstr>https://doi.org/10.1016/j.amepre.2017.01.020</vt:lpwstr>
      </vt:variant>
      <vt:variant>
        <vt:lpwstr/>
      </vt:variant>
      <vt:variant>
        <vt:i4>720922</vt:i4>
      </vt:variant>
      <vt:variant>
        <vt:i4>210</vt:i4>
      </vt:variant>
      <vt:variant>
        <vt:i4>0</vt:i4>
      </vt:variant>
      <vt:variant>
        <vt:i4>5</vt:i4>
      </vt:variant>
      <vt:variant>
        <vt:lpwstr>https://doi.org/10.1038/s41398-020-0796-8</vt:lpwstr>
      </vt:variant>
      <vt:variant>
        <vt:lpwstr/>
      </vt:variant>
      <vt:variant>
        <vt:i4>1835093</vt:i4>
      </vt:variant>
      <vt:variant>
        <vt:i4>207</vt:i4>
      </vt:variant>
      <vt:variant>
        <vt:i4>0</vt:i4>
      </vt:variant>
      <vt:variant>
        <vt:i4>5</vt:i4>
      </vt:variant>
      <vt:variant>
        <vt:lpwstr>https://www.ncbi.nlm.nih.gov/books/NBK138725/</vt:lpwstr>
      </vt:variant>
      <vt:variant>
        <vt:lpwstr/>
      </vt:variant>
      <vt:variant>
        <vt:i4>6684768</vt:i4>
      </vt:variant>
      <vt:variant>
        <vt:i4>204</vt:i4>
      </vt:variant>
      <vt:variant>
        <vt:i4>0</vt:i4>
      </vt:variant>
      <vt:variant>
        <vt:i4>5</vt:i4>
      </vt:variant>
      <vt:variant>
        <vt:lpwstr>https://www.cdc.gov/mmwr/volumes/73/wr/mm7348a1.htm</vt:lpwstr>
      </vt:variant>
      <vt:variant>
        <vt:lpwstr/>
      </vt:variant>
      <vt:variant>
        <vt:i4>262174</vt:i4>
      </vt:variant>
      <vt:variant>
        <vt:i4>201</vt:i4>
      </vt:variant>
      <vt:variant>
        <vt:i4>0</vt:i4>
      </vt:variant>
      <vt:variant>
        <vt:i4>5</vt:i4>
      </vt:variant>
      <vt:variant>
        <vt:lpwstr>https://www.cdc.gov/intimate-partner-violence/risk-factors/index.html</vt:lpwstr>
      </vt:variant>
      <vt:variant>
        <vt:lpwstr/>
      </vt:variant>
      <vt:variant>
        <vt:i4>4063293</vt:i4>
      </vt:variant>
      <vt:variant>
        <vt:i4>198</vt:i4>
      </vt:variant>
      <vt:variant>
        <vt:i4>0</vt:i4>
      </vt:variant>
      <vt:variant>
        <vt:i4>5</vt:i4>
      </vt:variant>
      <vt:variant>
        <vt:lpwstr>https://www.cdc.gov/intimate-partner-violence/about/about-teen-dating-violence.html</vt:lpwstr>
      </vt:variant>
      <vt:variant>
        <vt:lpwstr/>
      </vt:variant>
      <vt:variant>
        <vt:i4>6946849</vt:i4>
      </vt:variant>
      <vt:variant>
        <vt:i4>195</vt:i4>
      </vt:variant>
      <vt:variant>
        <vt:i4>0</vt:i4>
      </vt:variant>
      <vt:variant>
        <vt:i4>5</vt:i4>
      </vt:variant>
      <vt:variant>
        <vt:lpwstr>https://www.cdc.gov/intimate-partner-violence/about/index.html</vt:lpwstr>
      </vt:variant>
      <vt:variant>
        <vt:lpwstr/>
      </vt:variant>
      <vt:variant>
        <vt:i4>1572990</vt:i4>
      </vt:variant>
      <vt:variant>
        <vt:i4>192</vt:i4>
      </vt:variant>
      <vt:variant>
        <vt:i4>0</vt:i4>
      </vt:variant>
      <vt:variant>
        <vt:i4>5</vt:i4>
      </vt:variant>
      <vt:variant>
        <vt:lpwstr>https://www.cdc.gov/nisvs/documentation/NISVSReportonIPV_2022.pdf</vt:lpwstr>
      </vt:variant>
      <vt:variant>
        <vt:lpwstr/>
      </vt:variant>
      <vt:variant>
        <vt:i4>524365</vt:i4>
      </vt:variant>
      <vt:variant>
        <vt:i4>189</vt:i4>
      </vt:variant>
      <vt:variant>
        <vt:i4>0</vt:i4>
      </vt:variant>
      <vt:variant>
        <vt:i4>5</vt:i4>
      </vt:variant>
      <vt:variant>
        <vt:lpwstr>https://doi.org/10.1891/1946-6560.3.2.231</vt:lpwstr>
      </vt:variant>
      <vt:variant>
        <vt:lpwstr/>
      </vt:variant>
      <vt:variant>
        <vt:i4>327684</vt:i4>
      </vt:variant>
      <vt:variant>
        <vt:i4>186</vt:i4>
      </vt:variant>
      <vt:variant>
        <vt:i4>0</vt:i4>
      </vt:variant>
      <vt:variant>
        <vt:i4>5</vt:i4>
      </vt:variant>
      <vt:variant>
        <vt:lpwstr>https://doi.org/10.1016/S0140-6736(02)08336-8</vt:lpwstr>
      </vt:variant>
      <vt:variant>
        <vt:lpwstr/>
      </vt:variant>
      <vt:variant>
        <vt:i4>5111900</vt:i4>
      </vt:variant>
      <vt:variant>
        <vt:i4>183</vt:i4>
      </vt:variant>
      <vt:variant>
        <vt:i4>0</vt:i4>
      </vt:variant>
      <vt:variant>
        <vt:i4>5</vt:i4>
      </vt:variant>
      <vt:variant>
        <vt:lpwstr>https://www.nami.org/about-mental-illness/mental-health-conditions/bipolar-disorder/</vt:lpwstr>
      </vt:variant>
      <vt:variant>
        <vt:lpwstr/>
      </vt:variant>
      <vt:variant>
        <vt:i4>3407980</vt:i4>
      </vt:variant>
      <vt:variant>
        <vt:i4>180</vt:i4>
      </vt:variant>
      <vt:variant>
        <vt:i4>0</vt:i4>
      </vt:variant>
      <vt:variant>
        <vt:i4>5</vt:i4>
      </vt:variant>
      <vt:variant>
        <vt:lpwstr>https://www.accgov.com/</vt:lpwstr>
      </vt:variant>
      <vt:variant>
        <vt:lpwstr/>
      </vt:variant>
      <vt:variant>
        <vt:i4>589830</vt:i4>
      </vt:variant>
      <vt:variant>
        <vt:i4>177</vt:i4>
      </vt:variant>
      <vt:variant>
        <vt:i4>0</vt:i4>
      </vt:variant>
      <vt:variant>
        <vt:i4>5</vt:i4>
      </vt:variant>
      <vt:variant>
        <vt:lpwstr>https://www.anhc.clinic/</vt:lpwstr>
      </vt:variant>
      <vt:variant>
        <vt:lpwstr/>
      </vt:variant>
      <vt:variant>
        <vt:i4>720921</vt:i4>
      </vt:variant>
      <vt:variant>
        <vt:i4>174</vt:i4>
      </vt:variant>
      <vt:variant>
        <vt:i4>0</vt:i4>
      </vt:variant>
      <vt:variant>
        <vt:i4>5</vt:i4>
      </vt:variant>
      <vt:variant>
        <vt:lpwstr>https://www.ahrq.gov/ncepcr/care/coordination/coordcare.html</vt:lpwstr>
      </vt:variant>
      <vt:variant>
        <vt:lpwstr/>
      </vt:variant>
      <vt:variant>
        <vt:i4>1966089</vt:i4>
      </vt:variant>
      <vt:variant>
        <vt:i4>171</vt:i4>
      </vt:variant>
      <vt:variant>
        <vt:i4>0</vt:i4>
      </vt:variant>
      <vt:variant>
        <vt:i4>5</vt:i4>
      </vt:variant>
      <vt:variant>
        <vt:lpwstr>https://advantagebhs.org/</vt:lpwstr>
      </vt:variant>
      <vt:variant>
        <vt:lpwstr/>
      </vt:variant>
      <vt:variant>
        <vt:i4>1310775</vt:i4>
      </vt:variant>
      <vt:variant>
        <vt:i4>164</vt:i4>
      </vt:variant>
      <vt:variant>
        <vt:i4>0</vt:i4>
      </vt:variant>
      <vt:variant>
        <vt:i4>5</vt:i4>
      </vt:variant>
      <vt:variant>
        <vt:lpwstr/>
      </vt:variant>
      <vt:variant>
        <vt:lpwstr>_Toc214982998</vt:lpwstr>
      </vt:variant>
      <vt:variant>
        <vt:i4>1310775</vt:i4>
      </vt:variant>
      <vt:variant>
        <vt:i4>158</vt:i4>
      </vt:variant>
      <vt:variant>
        <vt:i4>0</vt:i4>
      </vt:variant>
      <vt:variant>
        <vt:i4>5</vt:i4>
      </vt:variant>
      <vt:variant>
        <vt:lpwstr/>
      </vt:variant>
      <vt:variant>
        <vt:lpwstr>_Toc214982997</vt:lpwstr>
      </vt:variant>
      <vt:variant>
        <vt:i4>1310775</vt:i4>
      </vt:variant>
      <vt:variant>
        <vt:i4>152</vt:i4>
      </vt:variant>
      <vt:variant>
        <vt:i4>0</vt:i4>
      </vt:variant>
      <vt:variant>
        <vt:i4>5</vt:i4>
      </vt:variant>
      <vt:variant>
        <vt:lpwstr/>
      </vt:variant>
      <vt:variant>
        <vt:lpwstr>_Toc214982996</vt:lpwstr>
      </vt:variant>
      <vt:variant>
        <vt:i4>1310775</vt:i4>
      </vt:variant>
      <vt:variant>
        <vt:i4>146</vt:i4>
      </vt:variant>
      <vt:variant>
        <vt:i4>0</vt:i4>
      </vt:variant>
      <vt:variant>
        <vt:i4>5</vt:i4>
      </vt:variant>
      <vt:variant>
        <vt:lpwstr/>
      </vt:variant>
      <vt:variant>
        <vt:lpwstr>_Toc214982995</vt:lpwstr>
      </vt:variant>
      <vt:variant>
        <vt:i4>1310775</vt:i4>
      </vt:variant>
      <vt:variant>
        <vt:i4>140</vt:i4>
      </vt:variant>
      <vt:variant>
        <vt:i4>0</vt:i4>
      </vt:variant>
      <vt:variant>
        <vt:i4>5</vt:i4>
      </vt:variant>
      <vt:variant>
        <vt:lpwstr/>
      </vt:variant>
      <vt:variant>
        <vt:lpwstr>_Toc214982994</vt:lpwstr>
      </vt:variant>
      <vt:variant>
        <vt:i4>1310775</vt:i4>
      </vt:variant>
      <vt:variant>
        <vt:i4>134</vt:i4>
      </vt:variant>
      <vt:variant>
        <vt:i4>0</vt:i4>
      </vt:variant>
      <vt:variant>
        <vt:i4>5</vt:i4>
      </vt:variant>
      <vt:variant>
        <vt:lpwstr/>
      </vt:variant>
      <vt:variant>
        <vt:lpwstr>_Toc214982993</vt:lpwstr>
      </vt:variant>
      <vt:variant>
        <vt:i4>1310775</vt:i4>
      </vt:variant>
      <vt:variant>
        <vt:i4>128</vt:i4>
      </vt:variant>
      <vt:variant>
        <vt:i4>0</vt:i4>
      </vt:variant>
      <vt:variant>
        <vt:i4>5</vt:i4>
      </vt:variant>
      <vt:variant>
        <vt:lpwstr/>
      </vt:variant>
      <vt:variant>
        <vt:lpwstr>_Toc214982992</vt:lpwstr>
      </vt:variant>
      <vt:variant>
        <vt:i4>1310775</vt:i4>
      </vt:variant>
      <vt:variant>
        <vt:i4>122</vt:i4>
      </vt:variant>
      <vt:variant>
        <vt:i4>0</vt:i4>
      </vt:variant>
      <vt:variant>
        <vt:i4>5</vt:i4>
      </vt:variant>
      <vt:variant>
        <vt:lpwstr/>
      </vt:variant>
      <vt:variant>
        <vt:lpwstr>_Toc214982991</vt:lpwstr>
      </vt:variant>
      <vt:variant>
        <vt:i4>1310775</vt:i4>
      </vt:variant>
      <vt:variant>
        <vt:i4>116</vt:i4>
      </vt:variant>
      <vt:variant>
        <vt:i4>0</vt:i4>
      </vt:variant>
      <vt:variant>
        <vt:i4>5</vt:i4>
      </vt:variant>
      <vt:variant>
        <vt:lpwstr/>
      </vt:variant>
      <vt:variant>
        <vt:lpwstr>_Toc214982990</vt:lpwstr>
      </vt:variant>
      <vt:variant>
        <vt:i4>1376311</vt:i4>
      </vt:variant>
      <vt:variant>
        <vt:i4>110</vt:i4>
      </vt:variant>
      <vt:variant>
        <vt:i4>0</vt:i4>
      </vt:variant>
      <vt:variant>
        <vt:i4>5</vt:i4>
      </vt:variant>
      <vt:variant>
        <vt:lpwstr/>
      </vt:variant>
      <vt:variant>
        <vt:lpwstr>_Toc214982989</vt:lpwstr>
      </vt:variant>
      <vt:variant>
        <vt:i4>1376311</vt:i4>
      </vt:variant>
      <vt:variant>
        <vt:i4>104</vt:i4>
      </vt:variant>
      <vt:variant>
        <vt:i4>0</vt:i4>
      </vt:variant>
      <vt:variant>
        <vt:i4>5</vt:i4>
      </vt:variant>
      <vt:variant>
        <vt:lpwstr/>
      </vt:variant>
      <vt:variant>
        <vt:lpwstr>_Toc214982988</vt:lpwstr>
      </vt:variant>
      <vt:variant>
        <vt:i4>1376311</vt:i4>
      </vt:variant>
      <vt:variant>
        <vt:i4>98</vt:i4>
      </vt:variant>
      <vt:variant>
        <vt:i4>0</vt:i4>
      </vt:variant>
      <vt:variant>
        <vt:i4>5</vt:i4>
      </vt:variant>
      <vt:variant>
        <vt:lpwstr/>
      </vt:variant>
      <vt:variant>
        <vt:lpwstr>_Toc214982987</vt:lpwstr>
      </vt:variant>
      <vt:variant>
        <vt:i4>1376311</vt:i4>
      </vt:variant>
      <vt:variant>
        <vt:i4>92</vt:i4>
      </vt:variant>
      <vt:variant>
        <vt:i4>0</vt:i4>
      </vt:variant>
      <vt:variant>
        <vt:i4>5</vt:i4>
      </vt:variant>
      <vt:variant>
        <vt:lpwstr/>
      </vt:variant>
      <vt:variant>
        <vt:lpwstr>_Toc214982986</vt:lpwstr>
      </vt:variant>
      <vt:variant>
        <vt:i4>1376311</vt:i4>
      </vt:variant>
      <vt:variant>
        <vt:i4>86</vt:i4>
      </vt:variant>
      <vt:variant>
        <vt:i4>0</vt:i4>
      </vt:variant>
      <vt:variant>
        <vt:i4>5</vt:i4>
      </vt:variant>
      <vt:variant>
        <vt:lpwstr/>
      </vt:variant>
      <vt:variant>
        <vt:lpwstr>_Toc214982985</vt:lpwstr>
      </vt:variant>
      <vt:variant>
        <vt:i4>1376311</vt:i4>
      </vt:variant>
      <vt:variant>
        <vt:i4>80</vt:i4>
      </vt:variant>
      <vt:variant>
        <vt:i4>0</vt:i4>
      </vt:variant>
      <vt:variant>
        <vt:i4>5</vt:i4>
      </vt:variant>
      <vt:variant>
        <vt:lpwstr/>
      </vt:variant>
      <vt:variant>
        <vt:lpwstr>_Toc214982984</vt:lpwstr>
      </vt:variant>
      <vt:variant>
        <vt:i4>1376311</vt:i4>
      </vt:variant>
      <vt:variant>
        <vt:i4>74</vt:i4>
      </vt:variant>
      <vt:variant>
        <vt:i4>0</vt:i4>
      </vt:variant>
      <vt:variant>
        <vt:i4>5</vt:i4>
      </vt:variant>
      <vt:variant>
        <vt:lpwstr/>
      </vt:variant>
      <vt:variant>
        <vt:lpwstr>_Toc214982983</vt:lpwstr>
      </vt:variant>
      <vt:variant>
        <vt:i4>1376311</vt:i4>
      </vt:variant>
      <vt:variant>
        <vt:i4>68</vt:i4>
      </vt:variant>
      <vt:variant>
        <vt:i4>0</vt:i4>
      </vt:variant>
      <vt:variant>
        <vt:i4>5</vt:i4>
      </vt:variant>
      <vt:variant>
        <vt:lpwstr/>
      </vt:variant>
      <vt:variant>
        <vt:lpwstr>_Toc214982982</vt:lpwstr>
      </vt:variant>
      <vt:variant>
        <vt:i4>1376311</vt:i4>
      </vt:variant>
      <vt:variant>
        <vt:i4>62</vt:i4>
      </vt:variant>
      <vt:variant>
        <vt:i4>0</vt:i4>
      </vt:variant>
      <vt:variant>
        <vt:i4>5</vt:i4>
      </vt:variant>
      <vt:variant>
        <vt:lpwstr/>
      </vt:variant>
      <vt:variant>
        <vt:lpwstr>_Toc214982981</vt:lpwstr>
      </vt:variant>
      <vt:variant>
        <vt:i4>1376311</vt:i4>
      </vt:variant>
      <vt:variant>
        <vt:i4>56</vt:i4>
      </vt:variant>
      <vt:variant>
        <vt:i4>0</vt:i4>
      </vt:variant>
      <vt:variant>
        <vt:i4>5</vt:i4>
      </vt:variant>
      <vt:variant>
        <vt:lpwstr/>
      </vt:variant>
      <vt:variant>
        <vt:lpwstr>_Toc214982980</vt:lpwstr>
      </vt:variant>
      <vt:variant>
        <vt:i4>1703991</vt:i4>
      </vt:variant>
      <vt:variant>
        <vt:i4>50</vt:i4>
      </vt:variant>
      <vt:variant>
        <vt:i4>0</vt:i4>
      </vt:variant>
      <vt:variant>
        <vt:i4>5</vt:i4>
      </vt:variant>
      <vt:variant>
        <vt:lpwstr/>
      </vt:variant>
      <vt:variant>
        <vt:lpwstr>_Toc214982979</vt:lpwstr>
      </vt:variant>
      <vt:variant>
        <vt:i4>1703991</vt:i4>
      </vt:variant>
      <vt:variant>
        <vt:i4>44</vt:i4>
      </vt:variant>
      <vt:variant>
        <vt:i4>0</vt:i4>
      </vt:variant>
      <vt:variant>
        <vt:i4>5</vt:i4>
      </vt:variant>
      <vt:variant>
        <vt:lpwstr/>
      </vt:variant>
      <vt:variant>
        <vt:lpwstr>_Toc214982978</vt:lpwstr>
      </vt:variant>
      <vt:variant>
        <vt:i4>1703991</vt:i4>
      </vt:variant>
      <vt:variant>
        <vt:i4>38</vt:i4>
      </vt:variant>
      <vt:variant>
        <vt:i4>0</vt:i4>
      </vt:variant>
      <vt:variant>
        <vt:i4>5</vt:i4>
      </vt:variant>
      <vt:variant>
        <vt:lpwstr/>
      </vt:variant>
      <vt:variant>
        <vt:lpwstr>_Toc214982977</vt:lpwstr>
      </vt:variant>
      <vt:variant>
        <vt:i4>1703991</vt:i4>
      </vt:variant>
      <vt:variant>
        <vt:i4>32</vt:i4>
      </vt:variant>
      <vt:variant>
        <vt:i4>0</vt:i4>
      </vt:variant>
      <vt:variant>
        <vt:i4>5</vt:i4>
      </vt:variant>
      <vt:variant>
        <vt:lpwstr/>
      </vt:variant>
      <vt:variant>
        <vt:lpwstr>_Toc214982976</vt:lpwstr>
      </vt:variant>
      <vt:variant>
        <vt:i4>1703991</vt:i4>
      </vt:variant>
      <vt:variant>
        <vt:i4>26</vt:i4>
      </vt:variant>
      <vt:variant>
        <vt:i4>0</vt:i4>
      </vt:variant>
      <vt:variant>
        <vt:i4>5</vt:i4>
      </vt:variant>
      <vt:variant>
        <vt:lpwstr/>
      </vt:variant>
      <vt:variant>
        <vt:lpwstr>_Toc214982975</vt:lpwstr>
      </vt:variant>
      <vt:variant>
        <vt:i4>1703991</vt:i4>
      </vt:variant>
      <vt:variant>
        <vt:i4>20</vt:i4>
      </vt:variant>
      <vt:variant>
        <vt:i4>0</vt:i4>
      </vt:variant>
      <vt:variant>
        <vt:i4>5</vt:i4>
      </vt:variant>
      <vt:variant>
        <vt:lpwstr/>
      </vt:variant>
      <vt:variant>
        <vt:lpwstr>_Toc214982974</vt:lpwstr>
      </vt:variant>
      <vt:variant>
        <vt:i4>1703991</vt:i4>
      </vt:variant>
      <vt:variant>
        <vt:i4>14</vt:i4>
      </vt:variant>
      <vt:variant>
        <vt:i4>0</vt:i4>
      </vt:variant>
      <vt:variant>
        <vt:i4>5</vt:i4>
      </vt:variant>
      <vt:variant>
        <vt:lpwstr/>
      </vt:variant>
      <vt:variant>
        <vt:lpwstr>_Toc214982973</vt:lpwstr>
      </vt:variant>
      <vt:variant>
        <vt:i4>1703991</vt:i4>
      </vt:variant>
      <vt:variant>
        <vt:i4>8</vt:i4>
      </vt:variant>
      <vt:variant>
        <vt:i4>0</vt:i4>
      </vt:variant>
      <vt:variant>
        <vt:i4>5</vt:i4>
      </vt:variant>
      <vt:variant>
        <vt:lpwstr/>
      </vt:variant>
      <vt:variant>
        <vt:lpwstr>_Toc214982972</vt:lpwstr>
      </vt:variant>
      <vt:variant>
        <vt:i4>1703991</vt:i4>
      </vt:variant>
      <vt:variant>
        <vt:i4>2</vt:i4>
      </vt:variant>
      <vt:variant>
        <vt:i4>0</vt:i4>
      </vt:variant>
      <vt:variant>
        <vt:i4>5</vt:i4>
      </vt:variant>
      <vt:variant>
        <vt:lpwstr/>
      </vt:variant>
      <vt:variant>
        <vt:lpwstr>_Toc214982971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Alexandria Campagne</dc:creator>
  <cp:keywords/>
  <dc:description/>
  <cp:lastModifiedBy>Alexandria Campagne</cp:lastModifiedBy>
  <cp:revision>158</cp:revision>
  <dcterms:created xsi:type="dcterms:W3CDTF">2025-11-18T17:37:00Z</dcterms:created>
  <dcterms:modified xsi:type="dcterms:W3CDTF">2025-11-25T22:13:00Z</dcterms:modified>
</cp:coreProperties>
</file>